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39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/>
        <mc:AlternateContent>
          <mc:Choice Requires="wps">
            <w:drawing>
              <wp:anchor behindDoc="0" distT="13335" distB="12700" distL="13335" distR="13335" simplePos="0" locked="0" layoutInCell="0" allowOverlap="1" relativeHeight="7">
                <wp:simplePos x="0" y="0"/>
                <wp:positionH relativeFrom="column">
                  <wp:posOffset>360045</wp:posOffset>
                </wp:positionH>
                <wp:positionV relativeFrom="page">
                  <wp:posOffset>3240405</wp:posOffset>
                </wp:positionV>
                <wp:extent cx="635" cy="2879725"/>
                <wp:effectExtent l="13335" t="13335" r="13335" b="12700"/>
                <wp:wrapNone/>
                <wp:docPr id="1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87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3" stroked="t" o:allowincell="f" style="position:absolute;margin-left:28.35pt;margin-top:255.15pt;width:0pt;height:226.7pt;mso-wrap-style:none;v-text-anchor:middle;mso-position-vertical-relative:page" type="_x0000_t32">
                <v:fill o:detectmouseclick="t" on="false"/>
                <v:stroke color="#00b0f0" weight="25560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1894205" cy="326390"/>
            <wp:effectExtent l="0" t="0" r="0" b="0"/>
            <wp:docPr id="2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szCs w:val="24"/>
        </w:rPr>
      </w:pPr>
      <w:r>
        <w:rPr>
          <w:b/>
          <w:szCs w:val="24"/>
        </w:rPr>
        <w:t>Интеграция: Документы</w:t>
      </w:r>
    </w:p>
    <w:p>
      <w:pPr>
        <w:pStyle w:val="Normal"/>
        <w:spacing w:before="120" w:after="0"/>
        <w:ind w:left="1134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Программное обеспечение </w:t>
      </w:r>
    </w:p>
    <w:p>
      <w:pPr>
        <w:pStyle w:val="Style23"/>
        <w:bidi w:val="0"/>
        <w:spacing w:before="240" w:after="120"/>
        <w:ind w:left="1134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Описание тех стека и определение класса ПО</w:t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>Тиллиум.Касса</w:t>
      </w:r>
    </w:p>
    <w:p>
      <w:pPr>
        <w:pStyle w:val="Normal"/>
        <w:spacing w:before="120" w:after="0"/>
        <w:ind w:left="1134" w:firstLine="284"/>
        <w:jc w:val="both"/>
        <w:rPr>
          <w:rFonts w:cs="Noto Sans"/>
          <w:szCs w:val="24"/>
        </w:rPr>
      </w:pPr>
      <w:r>
        <w:rPr>
          <w:rFonts w:cs="Noto Sans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1"/>
        <w:numPr>
          <w:ilvl w:val="0"/>
          <w:numId w:val="1"/>
        </w:numPr>
        <w:rPr>
          <w:rFonts w:ascii="ALS Hauss" w:hAnsi="ALS Hauss"/>
        </w:rPr>
      </w:pPr>
      <w:r>
        <w:rPr/>
        <w:t>Инфраструктурные программные средства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150"/>
        <w:ind w:left="0" w:hanging="0"/>
        <w:jc w:val="left"/>
        <w:rPr>
          <w:rFonts w:ascii="ALS Hauss" w:hAnsi="ALS Hauss"/>
        </w:rPr>
      </w:pPr>
      <w:r>
        <w:rPr>
          <w:rFonts w:eastAsia="Times New Roman" w:cs="Arial"/>
          <w:kern w:val="0"/>
          <w:sz w:val="24"/>
          <w:szCs w:val="24"/>
          <w:lang w:val="ru-RU" w:eastAsia="en-US" w:bidi="ar-SA"/>
        </w:rPr>
        <w:t>Базовая операционная система: Debian 12, Ubuntu 22.04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150"/>
        <w:ind w:left="0" w:hanging="0"/>
        <w:jc w:val="left"/>
        <w:rPr>
          <w:rFonts w:ascii="ALS Hauss" w:hAnsi="ALS Hauss"/>
        </w:rPr>
      </w:pPr>
      <w:r>
        <w:rPr>
          <w:rFonts w:eastAsia="Times New Roman" w:cs="Arial"/>
          <w:kern w:val="0"/>
          <w:sz w:val="24"/>
          <w:szCs w:val="24"/>
          <w:lang w:val="ru-RU" w:eastAsia="en-US" w:bidi="ar-SA"/>
        </w:rPr>
        <w:t>Программная платформа: Perl, C, Bash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150"/>
        <w:ind w:left="0" w:hanging="0"/>
        <w:jc w:val="left"/>
        <w:rPr>
          <w:rFonts w:ascii="ALS Hauss" w:hAnsi="ALS Hauss"/>
        </w:rPr>
      </w:pPr>
      <w:r>
        <w:rPr>
          <w:rFonts w:eastAsia="Times New Roman" w:cs="Arial"/>
          <w:kern w:val="0"/>
          <w:sz w:val="24"/>
          <w:szCs w:val="24"/>
          <w:lang w:val="ru-RU" w:eastAsia="en-US" w:bidi="ar-SA"/>
        </w:rPr>
        <w:t>СУБД: Postgreql</w:t>
      </w:r>
    </w:p>
    <w:p>
      <w:pPr>
        <w:pStyle w:val="1"/>
        <w:numPr>
          <w:ilvl w:val="0"/>
          <w:numId w:val="1"/>
        </w:numPr>
        <w:rPr>
          <w:rFonts w:ascii="ALS Hauss" w:hAnsi="ALS Hauss"/>
        </w:rPr>
      </w:pPr>
      <w:r>
        <w:rPr>
          <w:rFonts w:cs="Arial"/>
        </w:rPr>
        <w:t>Класс ПО определяем в соответствии с классификатором.</w:t>
      </w:r>
    </w:p>
    <w:p>
      <w:pPr>
        <w:pStyle w:val="Style16"/>
        <w:rPr>
          <w:rFonts w:ascii="ALS Hauss" w:hAnsi="ALS Hauss"/>
        </w:rPr>
      </w:pPr>
      <w:r>
        <w:rPr/>
        <w:t>Отраслевое прикладное программное обеспечение</w:t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5"/>
        <w:gridCol w:w="4184"/>
        <w:gridCol w:w="3016"/>
      </w:tblGrid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ind w:left="0" w:right="0" w:hanging="0"/>
              <w:jc w:val="left"/>
              <w:rPr>
                <w:rFonts w:ascii="ALS Hauss" w:hAnsi="ALS Hauss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ALS Hauss" w:hAnsi="ALS Hauss"/>
              </w:rPr>
            </w:pPr>
            <w:r>
              <w:rPr>
                <w:sz w:val="24"/>
                <w:szCs w:val="24"/>
              </w:rPr>
              <w:t>Описание класса программ для электронных вычислительных машин и баз данных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ALS Hauss" w:hAnsi="ALS Hauss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Код (числовое обозначение) раздела или класса программ для электронных вычислительных машин и баз данных</w:t>
            </w:r>
          </w:p>
        </w:tc>
      </w:tr>
      <w:tr>
        <w:trPr/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LS Hauss" w:hAnsi="ALS Hauss"/>
              </w:rPr>
            </w:pPr>
            <w:r>
              <w:rPr>
                <w:sz w:val="24"/>
                <w:szCs w:val="24"/>
              </w:rPr>
              <w:t>Программное обеспечение для решения отраслевых задач в области торговли.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LS Hauss" w:hAnsi="ALS Hauss"/>
              </w:rPr>
            </w:pPr>
            <w:r>
              <w:rPr>
                <w:sz w:val="24"/>
                <w:szCs w:val="24"/>
              </w:rPr>
              <w:t>Программное обеспечение, предназначенное для специализированного информационного обеспечения в области оптовой и розничной торговли.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ALS Hauss" w:hAnsi="ALS Hauss"/>
              </w:rPr>
            </w:pPr>
            <w:r>
              <w:rPr>
                <w:sz w:val="24"/>
                <w:szCs w:val="24"/>
              </w:rPr>
              <w:t>12.9</w:t>
            </w:r>
          </w:p>
        </w:tc>
      </w:tr>
    </w:tbl>
    <w:p>
      <w:pPr>
        <w:pStyle w:val="Style16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150"/>
        <w:ind w:left="0" w:hanging="0"/>
        <w:jc w:val="left"/>
        <w:rPr>
          <w:rFonts w:ascii="ALS Hauss" w:hAnsi="ALS Hauss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20" w:h="16838"/>
      <w:pgMar w:left="1440" w:right="863" w:gutter="0" w:header="567" w:top="1387" w:footer="510" w:bottom="7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LS Haus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</w:tabs>
      <w:rPr>
        <w:rFonts w:cs="Noto Sans"/>
        <w:color w:val="0070C0"/>
        <w:sz w:val="12"/>
        <w:szCs w:val="12"/>
      </w:rPr>
    </w:pPr>
    <w:r>
      <mc:AlternateContent>
        <mc:Choice Requires="wps">
          <w:drawing>
            <wp:anchor behindDoc="1" distT="6985" distB="5715" distL="6985" distR="5715" simplePos="0" locked="0" layoutInCell="0" allowOverlap="1" relativeHeight="4">
              <wp:simplePos x="0" y="0"/>
              <wp:positionH relativeFrom="page">
                <wp:posOffset>6407785</wp:posOffset>
              </wp:positionH>
              <wp:positionV relativeFrom="page">
                <wp:posOffset>10169525</wp:posOffset>
              </wp:positionV>
              <wp:extent cx="36195" cy="360045"/>
              <wp:effectExtent l="6985" t="6985" r="5715" b="5715"/>
              <wp:wrapNone/>
              <wp:docPr id="6" name="Прямоугольник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0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7" path="m0,0l-2147483645,0l-2147483645,-2147483646l0,-2147483646xe" fillcolor="#0070c0" stroked="t" o:allowincell="f" style="position:absolute;margin-left:504.55pt;margin-top:800.75pt;width:2.8pt;height:28.3pt;mso-wrap-style:none;v-text-anchor:middle;mso-position-horizontal-relative:page;mso-position-vertical-relative:page">
              <v:fill o:detectmouseclick="t" type="solid" color2="#ff8f3f"/>
              <v:stroke color="#0070c0" weight="12600" joinstyle="miter" endcap="flat"/>
              <w10:wrap type="none"/>
            </v:rect>
          </w:pict>
        </mc:Fallback>
      </mc:AlternateContent>
    </w:r>
    <w:r>
      <w:rPr>
        <w:rFonts w:cs="Noto Sans"/>
        <w:color w:val="0070C0"/>
        <w:sz w:val="12"/>
        <w:szCs w:val="12"/>
      </w:rPr>
      <w:t xml:space="preserve">2025, Т1 Интеграция. Все права защищены. Конфиденциально. </w:t>
    </w:r>
  </w:p>
  <w:p>
    <w:pPr>
      <w:pStyle w:val="Style30"/>
      <w:ind w:hanging="0"/>
      <w:rPr>
        <w:rFonts w:cs="Noto Sans"/>
        <w:color w:val="0070C0"/>
        <w:sz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rPr>
        <w:rFonts w:cs="Noto Sans"/>
        <w:color w:val="0070C0"/>
        <w:sz w:val="12"/>
        <w:szCs w:val="12"/>
      </w:rPr>
    </w:pPr>
    <w:r>
      <w:rPr>
        <w:rFonts w:cs="Noto Sans"/>
        <w:color w:val="0070C0"/>
        <w:sz w:val="12"/>
        <w:szCs w:val="12"/>
      </w:rPr>
      <w:t xml:space="preserve">Несанкционированное распространение данного документа и любой его части запрещено.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Конфиденциальность: Содержание данного документа являются исключительной собственностью компании ООО «Т1 Интеграция». </w:t>
    </w:r>
  </w:p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>Любое его использование может быть осуществлено только с письменного разрешения ООО «Т1 Интеграция».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1699260" cy="291465"/>
          <wp:effectExtent l="0" t="0" r="0" b="0"/>
          <wp:wrapNone/>
          <wp:docPr id="3" name="Рисунок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789430" cy="323850"/>
          <wp:effectExtent l="0" t="0" r="0" b="0"/>
          <wp:wrapNone/>
          <wp:docPr id="4" name="Рисунок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Noto Sans"/>
        <w:b/>
        <w:color w:val="0070C0"/>
        <w:sz w:val="16"/>
        <w:szCs w:val="16"/>
      </w:rPr>
      <w:t>Интеграция: Документы</w:t>
    </w:r>
  </w:p>
  <w:p>
    <w:pPr>
      <w:pStyle w:val="Style29"/>
      <w:pBdr>
        <w:bottom w:val="single" w:sz="24" w:space="1" w:color="0070C0"/>
      </w:pBdr>
      <w:spacing w:lineRule="auto" w:line="360" w:before="120" w:after="120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rPr>
        <w:rFonts w:cs="Noto Sans"/>
        <w:b/>
        <w:color w:val="0070C0"/>
        <w:sz w:val="16"/>
        <w:szCs w:val="16"/>
      </w:rPr>
      <w:t>Руководство пользователя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8" w:type="dxa"/>
      <w:jc w:val="left"/>
      <w:tblInd w:w="-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19"/>
      <w:gridCol w:w="4820"/>
      <w:gridCol w:w="1559"/>
    </w:tblGrid>
    <w:tr>
      <w:trPr>
        <w:trHeight w:val="563" w:hRule="atLeast"/>
      </w:trPr>
      <w:tc>
        <w:tcPr>
          <w:tcW w:w="311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firstLine="34"/>
            <w:rPr>
              <w:color w:val="0070C0"/>
            </w:rPr>
          </w:pPr>
          <w:r>
            <w:rPr>
              <w:color w:val="0070C0"/>
            </w:rPr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-10795</wp:posOffset>
                </wp:positionH>
                <wp:positionV relativeFrom="paragraph">
                  <wp:posOffset>26670</wp:posOffset>
                </wp:positionV>
                <wp:extent cx="1504950" cy="259080"/>
                <wp:effectExtent l="0" t="0" r="0" b="0"/>
                <wp:wrapSquare wrapText="bothSides"/>
                <wp:docPr id="5" name="Рисунок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hanging="0"/>
            <w:rPr>
              <w:color w:val="0070C0"/>
            </w:rPr>
          </w:pPr>
          <w:r>
            <w:rPr>
              <w:rFonts w:cs="Arial"/>
              <w:color w:val="0070C0"/>
              <w:sz w:val="16"/>
              <w:szCs w:val="16"/>
              <w:lang w:eastAsia="ru-RU"/>
            </w:rPr>
            <w:t xml:space="preserve">ООО «Т1 Интеграция», Местонахождение: 125167, Москва </w:t>
            <w:br/>
            <w:t>Ленинградский пр-т, д. 36, стр. 41</w:t>
          </w:r>
        </w:p>
      </w:tc>
      <w:tc>
        <w:tcPr>
          <w:tcW w:w="155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rPr>
              <w:color w:val="0070C0"/>
            </w:rPr>
          </w:pPr>
          <w:r>
            <w:rPr>
              <w:color w:val="0070C0"/>
            </w:rPr>
          </w:r>
        </w:p>
      </w:tc>
    </w:tr>
  </w:tbl>
  <w:p>
    <w:pPr>
      <w:pStyle w:val="Style29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Devanaga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22"/>
      <w:lang w:val="ru-RU" w:eastAsia="zh-CN" w:bidi="hi-IN"/>
    </w:rPr>
  </w:style>
  <w:style w:type="paragraph" w:styleId="1">
    <w:name w:val="Heading 1"/>
    <w:basedOn w:val="Normal"/>
    <w:uiPriority w:val="9"/>
    <w:qFormat/>
    <w:pPr>
      <w:tabs>
        <w:tab w:val="clear" w:pos="720"/>
        <w:tab w:val="left" w:pos="709" w:leader="none"/>
        <w:tab w:val="left" w:pos="9356" w:leader="none"/>
      </w:tabs>
      <w:spacing w:before="240" w:after="120"/>
      <w:ind w:left="284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9356" w:leader="none"/>
      </w:tabs>
      <w:spacing w:before="240" w:after="120"/>
      <w:ind w:left="284" w:firstLine="284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Normal"/>
    <w:uiPriority w:val="9"/>
    <w:unhideWhenUsed/>
    <w:qFormat/>
    <w:pPr>
      <w:numPr>
        <w:ilvl w:val="2"/>
        <w:numId w:val="1"/>
      </w:numPr>
      <w:tabs>
        <w:tab w:val="clear" w:pos="720"/>
        <w:tab w:val="left" w:pos="1276" w:leader="none"/>
        <w:tab w:val="left" w:pos="1560" w:leader="none"/>
        <w:tab w:val="left" w:pos="9356" w:leader="none"/>
      </w:tabs>
      <w:spacing w:before="240" w:after="120"/>
      <w:ind w:firstLine="851"/>
      <w:outlineLvl w:val="2"/>
    </w:pPr>
    <w:rPr>
      <w:b/>
      <w:bCs/>
      <w:szCs w:val="28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10" w:customStyle="1">
    <w:name w:val="Ссылка указателя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rFonts w:cs="Mangal"/>
      <w:szCs w:val="20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cs="Mangal"/>
      <w:szCs w:val="20"/>
    </w:rPr>
  </w:style>
  <w:style w:type="character" w:styleId="Style13">
    <w:name w:val="Выделение"/>
    <w:qFormat/>
    <w:rPr>
      <w:i/>
      <w:iCs/>
    </w:rPr>
  </w:style>
  <w:style w:type="character" w:styleId="Style14" w:customStyle="1">
    <w:name w:val="Заголовок Знак"/>
    <w:basedOn w:val="DefaultParagraphFont"/>
    <w:uiPriority w:val="10"/>
    <w:qFormat/>
    <w:rPr>
      <w:b/>
      <w:bCs/>
      <w:sz w:val="56"/>
      <w:szCs w:val="56"/>
    </w:rPr>
  </w:style>
  <w:style w:type="character" w:styleId="11" w:customStyle="1">
    <w:name w:val="Текст1 Знак"/>
    <w:basedOn w:val="DefaultParagraphFont"/>
    <w:qFormat/>
    <w:rPr>
      <w:rFonts w:ascii="ALS Hauss" w:hAnsi="ALS Hauss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Lohit Devanagari"/>
      <w:color w:val="auto"/>
      <w:kern w:val="0"/>
      <w:sz w:val="22"/>
      <w:szCs w:val="22"/>
      <w:lang w:val="ru-RU" w:eastAsia="zh-CN" w:bidi="hi-IN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  <w:ind w:hanging="0"/>
    </w:pPr>
    <w:rPr>
      <w:b/>
      <w:bCs/>
      <w:sz w:val="32"/>
      <w:szCs w:val="32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Index Heading"/>
    <w:basedOn w:val="Style15"/>
    <w:pPr/>
    <w:rPr/>
  </w:style>
  <w:style w:type="paragraph" w:styleId="Style26">
    <w:name w:val="TOC Heading"/>
    <w:basedOn w:val="Indexheading"/>
    <w:pPr/>
    <w:rPr/>
  </w:style>
  <w:style w:type="paragraph" w:styleId="12">
    <w:name w:val="TOC 1"/>
    <w:uiPriority w:val="39"/>
    <w:pPr>
      <w:widowControl/>
      <w:tabs>
        <w:tab w:val="clear" w:pos="720"/>
        <w:tab w:val="right" w:pos="9420" w:leader="dot"/>
      </w:tabs>
      <w:suppressAutoHyphens w:val="true"/>
      <w:bidi w:val="0"/>
      <w:spacing w:before="12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32"/>
      <w:lang w:val="ru-RU" w:eastAsia="zh-CN" w:bidi="hi-IN"/>
    </w:rPr>
  </w:style>
  <w:style w:type="paragraph" w:styleId="21">
    <w:name w:val="TOC 2"/>
    <w:uiPriority w:val="39"/>
    <w:pPr>
      <w:widowControl/>
      <w:tabs>
        <w:tab w:val="clear" w:pos="720"/>
        <w:tab w:val="right" w:pos="9137" w:leader="dot"/>
      </w:tabs>
      <w:suppressAutoHyphens w:val="true"/>
      <w:bidi w:val="0"/>
      <w:spacing w:before="120" w:after="0"/>
      <w:ind w:left="284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31">
    <w:name w:val="TOC 3"/>
    <w:uiPriority w:val="39"/>
    <w:pPr>
      <w:widowControl/>
      <w:tabs>
        <w:tab w:val="clear" w:pos="720"/>
        <w:tab w:val="right" w:pos="8853" w:leader="dot"/>
      </w:tabs>
      <w:suppressAutoHyphens w:val="true"/>
      <w:bidi w:val="0"/>
      <w:spacing w:before="120" w:after="0"/>
      <w:ind w:left="567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Style27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Style30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13" w:customStyle="1">
    <w:name w:val="Текст1"/>
    <w:basedOn w:val="Normal"/>
    <w:qFormat/>
    <w:pPr>
      <w:spacing w:before="120" w:after="0"/>
      <w:jc w:val="both"/>
    </w:pPr>
    <w:rPr>
      <w:rFonts w:eastAsia="Times New Roman" w:cs="Times New Roman"/>
      <w:szCs w:val="24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0A8-549A-4541-8FAA-48E1EC2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LibreOffice/7.3.7.2$Linux_X86_64 LibreOffice_project/30$Build-2</Application>
  <AppVersion>15.0000</AppVersion>
  <Pages>2</Pages>
  <Words>145</Words>
  <Characters>1097</Characters>
  <CharactersWithSpaces>1223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2025-07-23T12:50:00Z</dcterms:created>
  <dc:creator>Windows User</dc:creator>
  <dc:description/>
  <dc:language>ru-RU</dc:language>
  <cp:lastModifiedBy/>
  <dcterms:modified xsi:type="dcterms:W3CDTF">2025-07-30T10:37:58Z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