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39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/>
        <mc:AlternateContent>
          <mc:Choice Requires="wps">
            <w:drawing>
              <wp:anchor behindDoc="0" distT="13335" distB="12700" distL="13335" distR="13335" simplePos="0" locked="0" layoutInCell="0" allowOverlap="1" relativeHeight="10">
                <wp:simplePos x="0" y="0"/>
                <wp:positionH relativeFrom="column">
                  <wp:posOffset>360045</wp:posOffset>
                </wp:positionH>
                <wp:positionV relativeFrom="page">
                  <wp:posOffset>3240405</wp:posOffset>
                </wp:positionV>
                <wp:extent cx="635" cy="2879725"/>
                <wp:effectExtent l="13335" t="13335" r="13335" b="12700"/>
                <wp:wrapNone/>
                <wp:docPr id="1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87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3" stroked="t" o:allowincell="f" style="position:absolute;margin-left:28.35pt;margin-top:255.15pt;width:0pt;height:226.7pt;mso-wrap-style:none;v-text-anchor:middle;mso-position-vertical-relative:page" type="_x0000_t32">
                <v:fill o:detectmouseclick="t" on="false"/>
                <v:stroke color="#00b0f0" weight="25560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1894205" cy="326390"/>
            <wp:effectExtent l="0" t="0" r="0" b="0"/>
            <wp:docPr id="2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szCs w:val="24"/>
        </w:rPr>
      </w:pPr>
      <w:r>
        <w:rPr>
          <w:b/>
          <w:szCs w:val="24"/>
        </w:rPr>
        <w:t>Интеграция: Документы</w:t>
      </w:r>
    </w:p>
    <w:p>
      <w:pPr>
        <w:pStyle w:val="Normal"/>
        <w:spacing w:before="120" w:after="0"/>
        <w:ind w:left="1134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Программное обеспечение </w:t>
      </w:r>
    </w:p>
    <w:p>
      <w:pPr>
        <w:pStyle w:val="Style23"/>
        <w:bidi w:val="0"/>
        <w:spacing w:before="240" w:after="120"/>
        <w:ind w:left="1134" w:firstLine="284"/>
        <w:jc w:val="both"/>
        <w:rPr>
          <w:sz w:val="24"/>
          <w:szCs w:val="24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</w:rPr>
        <w:t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>Тиллиум.Касса</w:t>
      </w:r>
    </w:p>
    <w:p>
      <w:pPr>
        <w:pStyle w:val="Normal"/>
        <w:spacing w:before="120" w:after="0"/>
        <w:ind w:left="1134" w:firstLine="284"/>
        <w:jc w:val="both"/>
        <w:rPr>
          <w:rFonts w:cs="Noto Sans"/>
          <w:szCs w:val="24"/>
        </w:rPr>
      </w:pPr>
      <w:r>
        <w:rPr>
          <w:rFonts w:cs="Noto Sans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1"/>
        <w:numPr>
          <w:ilvl w:val="0"/>
          <w:numId w:val="2"/>
        </w:numPr>
        <w:rPr>
          <w:rFonts w:ascii="ALS Hauss" w:hAnsi="ALS Hauss"/>
        </w:rPr>
      </w:pPr>
      <w:r>
        <w:rPr/>
        <w:t>Документация, содержащая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</w:r>
    </w:p>
    <w:p>
      <w:pPr>
        <w:pStyle w:val="2"/>
        <w:numPr>
          <w:ilvl w:val="1"/>
          <w:numId w:val="2"/>
        </w:numPr>
        <w:spacing w:before="200" w:after="120"/>
        <w:rPr>
          <w:rFonts w:ascii="ALS Hauss" w:hAnsi="ALS Hauss"/>
        </w:rPr>
      </w:pPr>
      <w:r>
        <w:rPr/>
        <w:t>SVN репозиторий.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</w:rPr>
        <w:t xml:space="preserve">Исходный код и другие файлы </w:t>
      </w:r>
      <w:r>
        <w:rPr>
          <w:rFonts w:eastAsia="Times New Roman" w:cs="Arial"/>
          <w:b/>
          <w:bCs/>
        </w:rPr>
        <w:t>тиллиум:касса</w:t>
      </w:r>
      <w:r>
        <w:rPr>
          <w:rFonts w:eastAsia="Times New Roman" w:cs="Arial"/>
        </w:rPr>
        <w:t xml:space="preserve"> хранится в репозитории </w:t>
      </w:r>
      <w:r>
        <w:rPr>
          <w:rFonts w:eastAsia="Times New Roman" w:cs="Arial"/>
          <w:b/>
          <w:bCs/>
        </w:rPr>
        <w:t>SVN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  <w:b/>
          <w:bCs/>
        </w:rPr>
        <w:t xml:space="preserve">на внутренних ресурсах компании </w:t>
      </w:r>
      <w:r>
        <w:rPr>
          <w:rFonts w:eastAsia="Times New Roman" w:cs="Arial"/>
          <w:b w:val="false"/>
          <w:bCs w:val="false"/>
        </w:rPr>
        <w:t>(linux сервер в облаке).</w:t>
      </w:r>
      <w:r>
        <w:rPr>
          <w:rFonts w:eastAsia="Times New Roman" w:cs="Arial"/>
        </w:rPr>
        <w:t xml:space="preserve"> </w:t>
      </w:r>
    </w:p>
    <w:p>
      <w:pPr>
        <w:pStyle w:val="3"/>
        <w:numPr>
          <w:ilvl w:val="2"/>
          <w:numId w:val="1"/>
        </w:numPr>
        <w:rPr>
          <w:rFonts w:ascii="ALS Hauss" w:hAnsi="ALS Hauss"/>
        </w:rPr>
      </w:pPr>
      <w:r>
        <w:rPr/>
        <w:t>Получение локально исходников и других файлов из репозитория и сборка.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</w:rPr>
        <w:t xml:space="preserve">1. Необходимо войти во внутреннюю сеть компании через </w:t>
      </w:r>
      <w:r>
        <w:rPr>
          <w:rFonts w:eastAsia="Times New Roman" w:cs="Arial"/>
          <w:b/>
          <w:bCs/>
        </w:rPr>
        <w:t>Cisco VPN.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</w:rPr>
        <w:t xml:space="preserve">2. Выполняется подключение </w:t>
      </w:r>
      <w:r>
        <w:rPr>
          <w:rFonts w:eastAsia="Times New Roman" w:cs="Arial"/>
          <w:b/>
          <w:bCs/>
        </w:rPr>
        <w:t xml:space="preserve">ssh  </w:t>
      </w:r>
      <w:r>
        <w:rPr>
          <w:rFonts w:eastAsia="Times New Roman" w:cs="Arial"/>
          <w:b w:val="false"/>
          <w:bCs w:val="false"/>
        </w:rPr>
        <w:t>к машине с репозиторием и создается</w:t>
      </w:r>
      <w:r>
        <w:rPr>
          <w:rFonts w:eastAsia="Times New Roman" w:cs="Arial"/>
        </w:rPr>
        <w:t xml:space="preserve"> туннель для tcp порта </w:t>
      </w:r>
      <w:r>
        <w:rPr>
          <w:rFonts w:eastAsia="Times New Roman" w:cs="Arial"/>
          <w:b/>
          <w:bCs/>
        </w:rPr>
        <w:t>3690.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3. Выполняется команду </w:t>
      </w:r>
      <w:r>
        <w:rPr>
          <w:rFonts w:eastAsia="Times New Roman" w:cs="Arial"/>
          <w:b/>
          <w:bCs/>
        </w:rPr>
        <w:t>svn checkout svn://127.0.0.1/retail.t1.ru/ntilldistgrib_ofd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>либо на локальной машине, либо на машине в сети репозитория.</w:t>
      </w:r>
    </w:p>
    <w:p>
      <w:pPr>
        <w:pStyle w:val="Normal"/>
        <w:rPr>
          <w:rFonts w:ascii="ALS Hauss" w:hAnsi="ALS Hauss"/>
        </w:rPr>
      </w:pPr>
      <w:r>
        <w:rPr/>
        <w:t xml:space="preserve">4. Сборка из исходников осуществляется на на машине с </w:t>
      </w:r>
      <w:r>
        <w:rPr>
          <w:b/>
          <w:bCs/>
        </w:rPr>
        <w:t xml:space="preserve">Linux (Ubuntu 10.10) </w:t>
      </w:r>
      <w:r>
        <w:rPr>
          <w:b w:val="false"/>
          <w:bCs w:val="false"/>
        </w:rPr>
        <w:t>командой</w:t>
      </w:r>
      <w:r>
        <w:rPr>
          <w:b/>
          <w:bCs/>
        </w:rPr>
        <w:t xml:space="preserve"> make install .</w:t>
      </w:r>
    </w:p>
    <w:p>
      <w:pPr>
        <w:pStyle w:val="Normal"/>
        <w:rPr>
          <w:rFonts w:ascii="ALS Hauss" w:hAnsi="ALS Hauss"/>
        </w:rPr>
      </w:pPr>
      <w:r>
        <w:rPr>
          <w:b w:val="false"/>
          <w:bCs w:val="false"/>
        </w:rPr>
        <w:t>5. Собранные файлы хранятся в том-же репозитории.</w:t>
      </w:r>
    </w:p>
    <w:p>
      <w:pPr>
        <w:pStyle w:val="Normal"/>
        <w:rPr>
          <w:rFonts w:ascii="ALS Hauss" w:hAnsi="ALS Hauss"/>
        </w:rPr>
      </w:pPr>
      <w:r>
        <w:rPr>
          <w:b w:val="false"/>
          <w:bCs w:val="false"/>
        </w:rPr>
        <w:t xml:space="preserve">6. Сборка дистрибутива кассы для обновления и первичной установки выполняется с помощью </w:t>
      </w:r>
      <w:r>
        <w:rPr>
          <w:b/>
          <w:bCs/>
        </w:rPr>
        <w:t>shell</w:t>
      </w:r>
      <w:r>
        <w:rPr>
          <w:b w:val="false"/>
          <w:bCs w:val="false"/>
        </w:rPr>
        <w:t xml:space="preserve"> скриптов на </w:t>
      </w:r>
      <w:r>
        <w:rPr>
          <w:b/>
          <w:bCs/>
        </w:rPr>
        <w:t>Linux</w:t>
      </w:r>
      <w:r>
        <w:rPr>
          <w:b w:val="false"/>
          <w:bCs w:val="false"/>
        </w:rPr>
        <w:t>.</w:t>
      </w:r>
    </w:p>
    <w:p>
      <w:pPr>
        <w:pStyle w:val="2"/>
        <w:numPr>
          <w:ilvl w:val="1"/>
          <w:numId w:val="2"/>
        </w:numPr>
        <w:spacing w:before="200" w:after="120"/>
        <w:rPr>
          <w:rFonts w:ascii="ALS Hauss" w:hAnsi="ALS Hauss"/>
        </w:rPr>
      </w:pPr>
      <w:r>
        <w:rPr/>
        <w:t>GIT репозиторий.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Исходный код и другие файлы </w:t>
      </w:r>
      <w:r>
        <w:rPr>
          <w:rFonts w:eastAsia="Times New Roman" w:cs="Arial"/>
          <w:b/>
          <w:bCs/>
        </w:rPr>
        <w:t>тиллиум:касса</w:t>
      </w:r>
      <w:r>
        <w:rPr>
          <w:rFonts w:eastAsia="Times New Roman" w:cs="Arial"/>
          <w:b w:val="false"/>
          <w:bCs w:val="false"/>
        </w:rPr>
        <w:t xml:space="preserve"> хранится в репозитории GIT </w:t>
      </w:r>
      <w:r>
        <w:rPr>
          <w:rFonts w:eastAsia="Times New Roman" w:cs="Arial"/>
          <w:b/>
          <w:bCs/>
        </w:rPr>
        <w:t xml:space="preserve">на внутренних ресурсах компании </w:t>
      </w:r>
      <w:r>
        <w:rPr>
          <w:rFonts w:eastAsia="Times New Roman" w:cs="Arial"/>
          <w:b w:val="false"/>
          <w:bCs w:val="false"/>
        </w:rPr>
        <w:t xml:space="preserve">(linux сервер в облаке). </w:t>
      </w:r>
    </w:p>
    <w:p>
      <w:pPr>
        <w:pStyle w:val="3"/>
        <w:numPr>
          <w:ilvl w:val="2"/>
          <w:numId w:val="1"/>
        </w:numPr>
        <w:rPr>
          <w:rFonts w:ascii="ALS Hauss" w:hAnsi="ALS Hauss"/>
        </w:rPr>
      </w:pPr>
      <w:r>
        <w:rPr/>
        <w:t>Получение локально исходников и других файлов из репозитория и сборка.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1. Необходимо войти во внутреннюю сеть компании через </w:t>
      </w:r>
      <w:r>
        <w:rPr>
          <w:rFonts w:eastAsia="Times New Roman" w:cs="Arial"/>
          <w:b/>
          <w:bCs/>
        </w:rPr>
        <w:t>Cisco VPN.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2. Создать пару ключей с помощью команды </w:t>
      </w:r>
      <w:r>
        <w:rPr>
          <w:rFonts w:eastAsia="Times New Roman" w:cs="Arial"/>
          <w:b/>
          <w:bCs/>
        </w:rPr>
        <w:t>ssh-keygen.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>3.</w:t>
      </w:r>
      <w:r>
        <w:rPr>
          <w:rFonts w:eastAsia="Times New Roman" w:cs="Arial"/>
          <w:b/>
          <w:bCs/>
        </w:rPr>
        <w:t xml:space="preserve"> </w:t>
      </w:r>
      <w:r>
        <w:rPr>
          <w:rFonts w:eastAsia="Times New Roman" w:cs="Arial"/>
          <w:b w:val="false"/>
          <w:bCs w:val="false"/>
        </w:rPr>
        <w:t xml:space="preserve">Передать </w:t>
      </w:r>
      <w:r>
        <w:rPr>
          <w:rFonts w:eastAsia="Times New Roman" w:cs="Arial"/>
          <w:b/>
          <w:bCs/>
        </w:rPr>
        <w:t>Нам</w:t>
      </w:r>
      <w:r>
        <w:rPr>
          <w:rFonts w:eastAsia="Times New Roman" w:cs="Arial"/>
          <w:b w:val="false"/>
          <w:bCs w:val="false"/>
        </w:rPr>
        <w:t xml:space="preserve"> открытый ключ</w:t>
      </w:r>
      <w:r>
        <w:rPr>
          <w:rFonts w:eastAsia="Times New Roman" w:cs="Arial"/>
          <w:b/>
          <w:bCs/>
        </w:rPr>
        <w:t xml:space="preserve">  id_ed25519.pub </w:t>
      </w:r>
      <w:r>
        <w:rPr>
          <w:rFonts w:eastAsia="Times New Roman" w:cs="Arial"/>
          <w:b w:val="false"/>
          <w:bCs w:val="false"/>
        </w:rPr>
        <w:t>и указать желаемое имя пользователя.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4. На сервер </w:t>
      </w:r>
      <w:r>
        <w:rPr>
          <w:rFonts w:eastAsia="Times New Roman" w:cs="Arial"/>
          <w:b/>
          <w:bCs/>
        </w:rPr>
        <w:t>GIT</w:t>
      </w:r>
      <w:r>
        <w:rPr>
          <w:rFonts w:eastAsia="Times New Roman" w:cs="Arial"/>
          <w:b w:val="false"/>
          <w:bCs w:val="false"/>
        </w:rPr>
        <w:t xml:space="preserve"> (</w:t>
      </w:r>
      <w:r>
        <w:rPr>
          <w:rFonts w:eastAsia="Times New Roman" w:cs="Arial"/>
          <w:b/>
          <w:bCs/>
        </w:rPr>
        <w:t>gitolite3</w:t>
      </w:r>
      <w:r>
        <w:rPr>
          <w:rFonts w:eastAsia="Times New Roman" w:cs="Arial"/>
          <w:b w:val="false"/>
          <w:bCs w:val="false"/>
        </w:rPr>
        <w:t xml:space="preserve">) </w:t>
      </w:r>
      <w:r>
        <w:rPr>
          <w:rFonts w:eastAsia="Times New Roman" w:cs="Arial"/>
          <w:b/>
          <w:bCs/>
        </w:rPr>
        <w:t>Мы</w:t>
      </w:r>
      <w:r>
        <w:rPr>
          <w:rFonts w:eastAsia="Times New Roman" w:cs="Arial"/>
          <w:b w:val="false"/>
          <w:bCs w:val="false"/>
        </w:rPr>
        <w:t xml:space="preserve"> добавим нового пользователя с полученным открытым ключом.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5. Настроить в файле </w:t>
      </w:r>
      <w:r>
        <w:rPr>
          <w:rFonts w:eastAsia="Times New Roman" w:cs="Arial"/>
          <w:b/>
          <w:bCs/>
        </w:rPr>
        <w:t>.ssh/config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/>
          <w:bCs/>
        </w:rPr>
        <w:t>host gitserver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/>
          <w:bCs/>
        </w:rPr>
        <w:t xml:space="preserve">    </w:t>
      </w:r>
      <w:r>
        <w:rPr>
          <w:rFonts w:eastAsia="Times New Roman" w:cs="Arial"/>
          <w:b/>
          <w:bCs/>
        </w:rPr>
        <w:t>HostName 172.26.96.29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/>
          <w:bCs/>
        </w:rPr>
        <w:t xml:space="preserve">    </w:t>
      </w:r>
      <w:r>
        <w:rPr>
          <w:rFonts w:eastAsia="Times New Roman" w:cs="Arial"/>
          <w:b/>
          <w:bCs/>
        </w:rPr>
        <w:t>Port 22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/>
          <w:bCs/>
        </w:rPr>
        <w:t xml:space="preserve">    </w:t>
      </w:r>
      <w:r>
        <w:rPr>
          <w:rFonts w:eastAsia="Times New Roman" w:cs="Arial"/>
          <w:b/>
          <w:bCs/>
        </w:rPr>
        <w:t>IdentityFile ~/.ssh/id_ed25519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>6</w:t>
      </w:r>
      <w:r>
        <w:rPr>
          <w:rFonts w:eastAsia="Times New Roman" w:cs="Arial"/>
          <w:b/>
          <w:bCs/>
        </w:rPr>
        <w:t xml:space="preserve">. </w:t>
      </w:r>
      <w:r>
        <w:rPr>
          <w:rFonts w:eastAsia="Times New Roman" w:cs="Arial"/>
          <w:b w:val="false"/>
          <w:bCs w:val="false"/>
        </w:rPr>
        <w:t>Выполнить команду</w:t>
      </w:r>
    </w:p>
    <w:p>
      <w:pPr>
        <w:pStyle w:val="Normal"/>
        <w:rPr/>
      </w:pPr>
      <w:r>
        <w:rPr>
          <w:rFonts w:eastAsia="Times New Roman" w:cs="Arial"/>
          <w:b/>
          <w:bCs/>
        </w:rPr>
        <w:t xml:space="preserve">git clone </w:t>
      </w:r>
      <w:hyperlink r:id="rId3">
        <w:r>
          <w:rPr>
            <w:rFonts w:eastAsia="Times New Roman" w:cs="Arial"/>
            <w:b/>
            <w:bCs/>
          </w:rPr>
          <w:t>gitolite3@gitserver</w:t>
        </w:r>
      </w:hyperlink>
      <w:r>
        <w:rPr>
          <w:rFonts w:eastAsia="Times New Roman" w:cs="Arial"/>
          <w:b/>
          <w:bCs/>
        </w:rPr>
        <w:t>:ntilldistrib_ofd</w:t>
      </w:r>
    </w:p>
    <w:p>
      <w:pPr>
        <w:pStyle w:val="Normal"/>
        <w:rPr>
          <w:rFonts w:ascii="ALS Hauss" w:hAnsi="ALS Hauss"/>
        </w:rPr>
      </w:pPr>
      <w:r>
        <w:rPr/>
        <w:t xml:space="preserve">7. Сборка из исходников осуществляется на на машине с </w:t>
      </w:r>
      <w:r>
        <w:rPr>
          <w:b/>
          <w:bCs/>
        </w:rPr>
        <w:t xml:space="preserve">Linux (Ubuntu 10.10) </w:t>
      </w:r>
      <w:r>
        <w:rPr>
          <w:b w:val="false"/>
          <w:bCs w:val="false"/>
        </w:rPr>
        <w:t>командой</w:t>
      </w:r>
      <w:r>
        <w:rPr>
          <w:b/>
          <w:bCs/>
        </w:rPr>
        <w:t xml:space="preserve"> make install .</w:t>
      </w:r>
    </w:p>
    <w:p>
      <w:pPr>
        <w:pStyle w:val="Normal"/>
        <w:rPr>
          <w:rFonts w:ascii="ALS Hauss" w:hAnsi="ALS Hauss"/>
        </w:rPr>
      </w:pPr>
      <w:r>
        <w:rPr>
          <w:b w:val="false"/>
          <w:bCs w:val="false"/>
        </w:rPr>
        <w:t>8. Собранные файлы хранятся в том-же репозитории.</w:t>
      </w:r>
    </w:p>
    <w:p>
      <w:pPr>
        <w:pStyle w:val="Normal"/>
        <w:rPr>
          <w:rFonts w:ascii="ALS Hauss" w:hAnsi="ALS Hauss"/>
        </w:rPr>
      </w:pPr>
      <w:r>
        <w:rPr>
          <w:rFonts w:eastAsia="Times New Roman" w:cs="Arial"/>
          <w:b w:val="false"/>
          <w:bCs w:val="false"/>
        </w:rPr>
        <w:t xml:space="preserve">9. Сборка дистрибутива кассы для обновления и первичной установки выполняется с помощью </w:t>
      </w:r>
      <w:r>
        <w:rPr>
          <w:rFonts w:eastAsia="Times New Roman" w:cs="Arial"/>
          <w:b/>
          <w:bCs/>
        </w:rPr>
        <w:t>shell</w:t>
      </w:r>
      <w:r>
        <w:rPr>
          <w:rFonts w:eastAsia="Times New Roman" w:cs="Arial"/>
          <w:b w:val="false"/>
          <w:bCs w:val="false"/>
        </w:rPr>
        <w:t xml:space="preserve"> скриптов на </w:t>
      </w:r>
      <w:r>
        <w:rPr>
          <w:rFonts w:eastAsia="Times New Roman" w:cs="Arial"/>
          <w:b/>
          <w:bCs/>
        </w:rPr>
        <w:t>Linux</w:t>
      </w:r>
      <w:r>
        <w:rPr>
          <w:rFonts w:eastAsia="Times New Roman" w:cs="Arial"/>
          <w:b w:val="false"/>
          <w:bCs w:val="false"/>
        </w:rPr>
        <w:t>.</w:t>
      </w:r>
    </w:p>
    <w:p>
      <w:pPr>
        <w:pStyle w:val="1"/>
        <w:widowControl/>
        <w:numPr>
          <w:ilvl w:val="0"/>
          <w:numId w:val="0"/>
        </w:numPr>
        <w:suppressAutoHyphens w:val="true"/>
        <w:ind w:left="284" w:hanging="0"/>
        <w:jc w:val="left"/>
        <w:rPr>
          <w:rFonts w:ascii="ALS Hauss" w:hAnsi="ALS Hauss"/>
        </w:rPr>
      </w:pPr>
      <w:r>
        <w:rPr/>
      </w:r>
      <w:r>
        <w:br w:type="page"/>
      </w:r>
    </w:p>
    <w:p>
      <w:pPr>
        <w:pStyle w:val="1"/>
        <w:numPr>
          <w:ilvl w:val="0"/>
          <w:numId w:val="2"/>
        </w:numPr>
        <w:rPr>
          <w:rFonts w:ascii="ALS Hauss" w:hAnsi="ALS Hauss"/>
        </w:rPr>
      </w:pPr>
      <w:r>
        <w:rPr/>
        <w:t>Адрес нахождения технических средств хранения исходного текста и объектного кода программного обеспечения, а также технические средства компиляции исходного текста в объектный код программного обеспечения и далее прописать адрес (выбор из выпадающего списка)</w:t>
      </w:r>
    </w:p>
    <w:p>
      <w:pPr>
        <w:pStyle w:val="Normal"/>
        <w:rPr/>
      </w:pPr>
      <w:r>
        <w:rPr>
          <w:sz w:val="24"/>
          <w:szCs w:val="24"/>
        </w:rPr>
        <w:t>125167, Москва</w:t>
      </w:r>
    </w:p>
    <w:p>
      <w:pPr>
        <w:pStyle w:val="Normal"/>
        <w:rPr>
          <w:rFonts w:ascii="ALS Hauss" w:hAnsi="ALS Hauss"/>
          <w:sz w:val="24"/>
          <w:szCs w:val="24"/>
        </w:rPr>
      </w:pPr>
      <w:r>
        <w:rPr>
          <w:sz w:val="24"/>
          <w:szCs w:val="24"/>
        </w:rPr>
        <w:t>Ленинградский пр-т, д. 36, стр. 41</w:t>
      </w:r>
    </w:p>
    <w:p>
      <w:pPr>
        <w:pStyle w:val="1"/>
        <w:numPr>
          <w:ilvl w:val="0"/>
          <w:numId w:val="2"/>
        </w:numPr>
        <w:rPr>
          <w:rFonts w:ascii="ALS Hauss" w:hAnsi="ALS Hauss"/>
        </w:rPr>
      </w:pPr>
      <w:r>
        <w:rPr/>
        <w:t>Подтверждающий документ в отношении адреса</w:t>
      </w:r>
    </w:p>
    <w:p>
      <w:pPr>
        <w:pStyle w:val="Style16"/>
        <w:spacing w:before="0" w:after="140"/>
        <w:jc w:val="both"/>
        <w:rPr>
          <w:rFonts w:ascii="ALS Hauss" w:hAnsi="ALS Hauss"/>
        </w:rPr>
      </w:pPr>
      <w:r>
        <w:rPr/>
        <w:t>?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20" w:h="16838"/>
      <w:pgMar w:left="1440" w:right="863" w:gutter="0" w:header="567" w:top="1387" w:footer="510" w:bottom="7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LS Hauss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</w:tabs>
      <w:rPr>
        <w:rFonts w:cs="Noto Sans"/>
        <w:color w:val="0070C0"/>
        <w:sz w:val="12"/>
        <w:szCs w:val="12"/>
      </w:rPr>
    </w:pPr>
    <w:r>
      <mc:AlternateContent>
        <mc:Choice Requires="wps">
          <w:drawing>
            <wp:anchor behindDoc="1" distT="6985" distB="5715" distL="6985" distR="5715" simplePos="0" locked="0" layoutInCell="0" allowOverlap="1" relativeHeight="7">
              <wp:simplePos x="0" y="0"/>
              <wp:positionH relativeFrom="page">
                <wp:posOffset>6407785</wp:posOffset>
              </wp:positionH>
              <wp:positionV relativeFrom="page">
                <wp:posOffset>10169525</wp:posOffset>
              </wp:positionV>
              <wp:extent cx="36195" cy="360045"/>
              <wp:effectExtent l="6985" t="6985" r="5715" b="5715"/>
              <wp:wrapNone/>
              <wp:docPr id="6" name="Прямоугольник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0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7" path="m0,0l-2147483645,0l-2147483645,-2147483646l0,-2147483646xe" fillcolor="#0070c0" stroked="t" o:allowincell="f" style="position:absolute;margin-left:504.55pt;margin-top:800.75pt;width:2.8pt;height:28.3pt;mso-wrap-style:none;v-text-anchor:middle;mso-position-horizontal-relative:page;mso-position-vertical-relative:page">
              <v:fill o:detectmouseclick="t" type="solid" color2="#ff8f3f"/>
              <v:stroke color="#0070c0" weight="12600" joinstyle="miter" endcap="flat"/>
              <w10:wrap type="none"/>
            </v:rect>
          </w:pict>
        </mc:Fallback>
      </mc:AlternateContent>
    </w:r>
    <w:r>
      <w:rPr>
        <w:rFonts w:cs="Noto Sans"/>
        <w:color w:val="0070C0"/>
        <w:sz w:val="12"/>
        <w:szCs w:val="12"/>
      </w:rPr>
      <w:t xml:space="preserve">2025, Т1 Интеграция. Все права защищены. Конфиденциально. </w:t>
    </w:r>
  </w:p>
  <w:p>
    <w:pPr>
      <w:pStyle w:val="Style30"/>
      <w:ind w:hanging="0"/>
      <w:rPr>
        <w:rFonts w:cs="Noto Sans"/>
        <w:color w:val="0070C0"/>
        <w:sz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rPr>
        <w:rFonts w:cs="Noto Sans"/>
        <w:color w:val="0070C0"/>
        <w:sz w:val="12"/>
        <w:szCs w:val="12"/>
      </w:rPr>
    </w:pPr>
    <w:r>
      <w:rPr>
        <w:rFonts w:cs="Noto Sans"/>
        <w:color w:val="0070C0"/>
        <w:sz w:val="12"/>
        <w:szCs w:val="12"/>
      </w:rPr>
      <w:t xml:space="preserve">Несанкционированное распространение данного документа и любой его части запрещено.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Конфиденциальность: Содержание данного документа являются исключительной собственностью компании ООО «Т1 Интеграция». </w:t>
    </w:r>
  </w:p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>Любое его использование может быть осуществлено только с письменного разрешения ООО «Т1 Интеграция».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1699260" cy="291465"/>
          <wp:effectExtent l="0" t="0" r="0" b="0"/>
          <wp:wrapNone/>
          <wp:docPr id="3" name="Рисунок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789430" cy="323850"/>
          <wp:effectExtent l="0" t="0" r="0" b="0"/>
          <wp:wrapNone/>
          <wp:docPr id="4" name="Рисунок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Noto Sans"/>
        <w:b/>
        <w:color w:val="0070C0"/>
        <w:sz w:val="16"/>
        <w:szCs w:val="16"/>
      </w:rPr>
      <w:t>Интеграция: Документы</w:t>
    </w:r>
  </w:p>
  <w:p>
    <w:pPr>
      <w:pStyle w:val="Style29"/>
      <w:pBdr>
        <w:bottom w:val="single" w:sz="24" w:space="1" w:color="0070C0"/>
      </w:pBdr>
      <w:spacing w:lineRule="auto" w:line="360" w:before="120" w:after="120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rPr>
        <w:rFonts w:cs="Noto Sans"/>
        <w:b/>
        <w:color w:val="0070C0"/>
        <w:sz w:val="16"/>
        <w:szCs w:val="16"/>
      </w:rPr>
      <w:t>Руководство пользователя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8" w:type="dxa"/>
      <w:jc w:val="left"/>
      <w:tblInd w:w="-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19"/>
      <w:gridCol w:w="4820"/>
      <w:gridCol w:w="1559"/>
    </w:tblGrid>
    <w:tr>
      <w:trPr>
        <w:trHeight w:val="563" w:hRule="atLeast"/>
      </w:trPr>
      <w:tc>
        <w:tcPr>
          <w:tcW w:w="311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firstLine="34"/>
            <w:rPr>
              <w:color w:val="0070C0"/>
            </w:rPr>
          </w:pPr>
          <w:r>
            <w:rPr>
              <w:color w:val="0070C0"/>
            </w:rPr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-10795</wp:posOffset>
                </wp:positionH>
                <wp:positionV relativeFrom="paragraph">
                  <wp:posOffset>26670</wp:posOffset>
                </wp:positionV>
                <wp:extent cx="1504950" cy="259080"/>
                <wp:effectExtent l="0" t="0" r="0" b="0"/>
                <wp:wrapSquare wrapText="bothSides"/>
                <wp:docPr id="5" name="Рисунок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hanging="0"/>
            <w:rPr>
              <w:color w:val="0070C0"/>
            </w:rPr>
          </w:pPr>
          <w:r>
            <w:rPr>
              <w:rFonts w:cs="Arial"/>
              <w:color w:val="0070C0"/>
              <w:sz w:val="16"/>
              <w:szCs w:val="16"/>
              <w:lang w:eastAsia="ru-RU"/>
            </w:rPr>
            <w:t xml:space="preserve">ООО «Т1 Интеграция», Местонахождение: 125167, Москва </w:t>
            <w:br/>
            <w:t>Ленинградский пр-т, д. 36, стр. 41</w:t>
          </w:r>
        </w:p>
      </w:tc>
      <w:tc>
        <w:tcPr>
          <w:tcW w:w="155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rPr>
              <w:color w:val="0070C0"/>
            </w:rPr>
          </w:pPr>
          <w:r>
            <w:rPr>
              <w:color w:val="0070C0"/>
            </w:rPr>
          </w:r>
        </w:p>
      </w:tc>
    </w:tr>
  </w:tbl>
  <w:p>
    <w:pPr>
      <w:pStyle w:val="Style29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Devanaga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22"/>
      <w:lang w:val="ru-RU" w:eastAsia="zh-CN" w:bidi="hi-IN"/>
    </w:rPr>
  </w:style>
  <w:style w:type="paragraph" w:styleId="1">
    <w:name w:val="Heading 1"/>
    <w:basedOn w:val="Normal"/>
    <w:uiPriority w:val="9"/>
    <w:qFormat/>
    <w:pPr>
      <w:tabs>
        <w:tab w:val="clear" w:pos="720"/>
        <w:tab w:val="left" w:pos="709" w:leader="none"/>
        <w:tab w:val="left" w:pos="9356" w:leader="none"/>
      </w:tabs>
      <w:spacing w:before="240" w:after="120"/>
      <w:ind w:left="284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9356" w:leader="none"/>
      </w:tabs>
      <w:spacing w:before="240" w:after="120"/>
      <w:ind w:left="284" w:firstLine="284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Normal"/>
    <w:uiPriority w:val="9"/>
    <w:unhideWhenUsed/>
    <w:qFormat/>
    <w:pPr>
      <w:numPr>
        <w:ilvl w:val="2"/>
        <w:numId w:val="1"/>
      </w:numPr>
      <w:tabs>
        <w:tab w:val="clear" w:pos="720"/>
        <w:tab w:val="left" w:pos="1276" w:leader="none"/>
        <w:tab w:val="left" w:pos="1560" w:leader="none"/>
        <w:tab w:val="left" w:pos="9356" w:leader="none"/>
      </w:tabs>
      <w:spacing w:before="240" w:after="120"/>
      <w:ind w:firstLine="851"/>
      <w:outlineLvl w:val="2"/>
    </w:pPr>
    <w:rPr>
      <w:b/>
      <w:bCs/>
      <w:szCs w:val="28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10" w:customStyle="1">
    <w:name w:val="Ссылка указателя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rFonts w:cs="Mangal"/>
      <w:szCs w:val="20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cs="Mangal"/>
      <w:szCs w:val="20"/>
    </w:rPr>
  </w:style>
  <w:style w:type="character" w:styleId="Style13">
    <w:name w:val="Выделение"/>
    <w:qFormat/>
    <w:rPr>
      <w:i/>
      <w:iCs/>
    </w:rPr>
  </w:style>
  <w:style w:type="character" w:styleId="Style14" w:customStyle="1">
    <w:name w:val="Заголовок Знак"/>
    <w:basedOn w:val="DefaultParagraphFont"/>
    <w:uiPriority w:val="10"/>
    <w:qFormat/>
    <w:rPr>
      <w:b/>
      <w:bCs/>
      <w:sz w:val="56"/>
      <w:szCs w:val="56"/>
    </w:rPr>
  </w:style>
  <w:style w:type="character" w:styleId="11" w:customStyle="1">
    <w:name w:val="Текст1 Знак"/>
    <w:basedOn w:val="DefaultParagraphFont"/>
    <w:qFormat/>
    <w:rPr>
      <w:rFonts w:ascii="ALS Hauss" w:hAnsi="ALS Hauss" w:eastAsia="Times New Roman" w:cs="Times New Roman"/>
      <w:sz w:val="24"/>
      <w:szCs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color w:val="000000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Lohit Devanagari"/>
      <w:color w:val="auto"/>
      <w:kern w:val="0"/>
      <w:sz w:val="22"/>
      <w:szCs w:val="22"/>
      <w:lang w:val="ru-RU" w:eastAsia="zh-CN" w:bidi="hi-IN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  <w:ind w:hanging="0"/>
    </w:pPr>
    <w:rPr>
      <w:b/>
      <w:bCs/>
      <w:sz w:val="32"/>
      <w:szCs w:val="32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Index Heading"/>
    <w:basedOn w:val="Style15"/>
    <w:pPr/>
    <w:rPr/>
  </w:style>
  <w:style w:type="paragraph" w:styleId="Style26">
    <w:name w:val="TOC Heading"/>
    <w:basedOn w:val="Indexheading"/>
    <w:pPr/>
    <w:rPr/>
  </w:style>
  <w:style w:type="paragraph" w:styleId="12">
    <w:name w:val="TOC 1"/>
    <w:uiPriority w:val="39"/>
    <w:pPr>
      <w:widowControl/>
      <w:tabs>
        <w:tab w:val="clear" w:pos="720"/>
        <w:tab w:val="right" w:pos="9420" w:leader="dot"/>
      </w:tabs>
      <w:suppressAutoHyphens w:val="true"/>
      <w:bidi w:val="0"/>
      <w:spacing w:before="12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32"/>
      <w:lang w:val="ru-RU" w:eastAsia="zh-CN" w:bidi="hi-IN"/>
    </w:rPr>
  </w:style>
  <w:style w:type="paragraph" w:styleId="21">
    <w:name w:val="TOC 2"/>
    <w:uiPriority w:val="39"/>
    <w:pPr>
      <w:widowControl/>
      <w:tabs>
        <w:tab w:val="clear" w:pos="720"/>
        <w:tab w:val="right" w:pos="9137" w:leader="dot"/>
      </w:tabs>
      <w:suppressAutoHyphens w:val="true"/>
      <w:bidi w:val="0"/>
      <w:spacing w:before="120" w:after="0"/>
      <w:ind w:left="284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31">
    <w:name w:val="TOC 3"/>
    <w:uiPriority w:val="39"/>
    <w:pPr>
      <w:widowControl/>
      <w:tabs>
        <w:tab w:val="clear" w:pos="720"/>
        <w:tab w:val="right" w:pos="8853" w:leader="dot"/>
      </w:tabs>
      <w:suppressAutoHyphens w:val="true"/>
      <w:bidi w:val="0"/>
      <w:spacing w:before="120" w:after="0"/>
      <w:ind w:left="567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Style27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Style30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13" w:customStyle="1">
    <w:name w:val="Текст1"/>
    <w:basedOn w:val="Normal"/>
    <w:qFormat/>
    <w:pPr>
      <w:spacing w:before="120" w:after="0"/>
      <w:jc w:val="both"/>
    </w:pPr>
    <w:rPr>
      <w:rFonts w:eastAsia="Times New Roman" w:cs="Times New Roman"/>
      <w:szCs w:val="24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itolite3@gitserve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0A8-549A-4541-8FAA-48E1EC2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LibreOffice/7.3.7.2$Linux_X86_64 LibreOffice_project/30$Build-2</Application>
  <AppVersion>15.0000</AppVersion>
  <Pages>3</Pages>
  <Words>396</Words>
  <Characters>2655</Characters>
  <CharactersWithSpaces>3027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2025-07-23T12:50:00Z</dcterms:created>
  <dc:creator>Windows User</dc:creator>
  <dc:description/>
  <dc:language>ru-RU</dc:language>
  <cp:lastModifiedBy/>
  <dcterms:modified xsi:type="dcterms:W3CDTF">2025-07-30T10:31:19Z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