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ind w:right="-439" w:firstLine="284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rFonts w:ascii="Calibri" w:hAnsi="Calibri" w:asciiTheme="minorHAnsi" w:hAnsiTheme="minorHAnsi"/>
          <w:szCs w:val="24"/>
        </w:rPr>
      </w:pPr>
      <w:r>
        <w:rPr>
          <w:rFonts w:ascii="Calibri" w:hAnsi="Calibri" w:asciiTheme="minorHAnsi" w:hAnsiTheme="minorHAnsi"/>
          <w:szCs w:val="24"/>
        </w:rPr>
      </w:r>
      <w:r>
        <w:rPr>
          <w:rFonts w:ascii="Calibri" w:hAnsi="Calibri" w:asciiTheme="minorHAnsi" w:hAnsiTheme="minorHAnsi"/>
          <w:szCs w:val="24"/>
        </w:rPr>
      </w:r>
    </w:p>
    <w:p>
      <w:pPr>
        <w:pStyle w:val="760"/>
        <w:jc w:val="both"/>
        <w:rPr>
          <w:rFonts w:ascii="Calibri" w:hAnsi="Calibri" w:asciiTheme="minorHAnsi" w:hAnsiTheme="minorHAnsi"/>
          <w:szCs w:val="24"/>
        </w:rPr>
      </w:pPr>
      <w:r>
        <w:rPr>
          <w:rFonts w:ascii="Calibri" w:hAnsi="Calibri" w:asciiTheme="minorHAnsi" w:hAnsiTheme="minorHAnsi"/>
          <w:szCs w:val="24"/>
        </w:rPr>
      </w:r>
      <w:r>
        <w:rPr>
          <w:rFonts w:ascii="Calibri" w:hAnsi="Calibri" w:asciiTheme="minorHAnsi" w:hAnsiTheme="minorHAnsi"/>
          <w:szCs w:val="24"/>
        </w:rPr>
      </w:r>
    </w:p>
    <w:p>
      <w:pPr>
        <w:pStyle w:val="760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60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60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ind w:left="1134" w:firstLine="284"/>
        <w:jc w:val="both"/>
        <w:rPr>
          <w:szCs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5875" distL="0" distR="19050" simplePos="0" relativeHeight="46" behindDoc="0" locked="0" layoutInCell="0" allowOverlap="1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5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2" type="#_x0000_t32" style="position:absolute;z-index:46;o:allowoverlap:true;o:allowincell:false;mso-position-horizontal-relative:text;margin-left:28.35pt;mso-position-horizontal:absolute;mso-position-vertical-relative:page;margin-top:255.15pt;mso-position-vertical:absolute;width:0.05pt;height:226.75pt;mso-wrap-distance-left:0.00pt;mso-wrap-distance-top:0.00pt;mso-wrap-distance-right:1.50pt;mso-wrap-distance-bottom:1.25pt;visibility:visible;" filled="f" strokecolor="#00B0F0" strokeweight="2.00pt"/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1894205" cy="326390"/>
                <wp:effectExtent l="0" t="0" r="0" b="0"/>
                <wp:docPr id="6" name="Рисунок 2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894205" cy="326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49.15pt;height:25.7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Cs w:val="24"/>
          <w:lang w:val="en-US"/>
        </w:rPr>
      </w:r>
    </w:p>
    <w:p>
      <w:pPr>
        <w:pStyle w:val="760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760"/>
        <w:ind w:left="1134" w:firstLine="284"/>
        <w:jc w:val="both"/>
        <w:spacing w:before="120" w:after="0"/>
        <w:rPr>
          <w:b/>
          <w:szCs w:val="24"/>
        </w:rPr>
      </w:pPr>
      <w:r>
        <w:rPr>
          <w:b/>
          <w:szCs w:val="24"/>
        </w:rPr>
        <w:t xml:space="preserve">Интеграция: Документы</w:t>
      </w:r>
      <w:r>
        <w:rPr>
          <w:b/>
          <w:szCs w:val="24"/>
        </w:rPr>
      </w:r>
    </w:p>
    <w:p>
      <w:pPr>
        <w:pStyle w:val="760"/>
        <w:ind w:left="1134" w:firstLine="284"/>
        <w:jc w:val="both"/>
        <w:spacing w:before="120" w:after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ind w:left="1134" w:firstLine="284"/>
        <w:jc w:val="both"/>
        <w:spacing w:before="120" w:after="0"/>
        <w:rPr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  <w:r>
        <w:rPr>
          <w:b/>
          <w:color w:val="0070c0"/>
          <w:szCs w:val="24"/>
          <w:lang w:eastAsia="ru-RU"/>
        </w:rPr>
      </w:r>
    </w:p>
    <w:p>
      <w:pPr>
        <w:pStyle w:val="760"/>
        <w:ind w:left="1134" w:firstLine="284"/>
        <w:jc w:val="both"/>
        <w:spacing w:before="120" w:after="0"/>
        <w:rPr>
          <w:b/>
          <w:szCs w:val="24"/>
        </w:rPr>
      </w:pPr>
      <w:r>
        <w:rPr>
          <w:b/>
          <w:szCs w:val="24"/>
        </w:rPr>
        <w:t xml:space="preserve">Описание жизненного цикла, поддержки и обслуживания программного обеспечения</w:t>
      </w:r>
      <w:r>
        <w:rPr>
          <w:b/>
          <w:szCs w:val="24"/>
        </w:rPr>
      </w:r>
    </w:p>
    <w:p>
      <w:pPr>
        <w:pStyle w:val="760"/>
        <w:ind w:left="1134" w:firstLine="284"/>
        <w:jc w:val="both"/>
        <w:spacing w:before="120" w:after="0"/>
        <w:rPr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Тиллиум.Касса</w:t>
      </w:r>
      <w:r>
        <w:rPr>
          <w:b/>
          <w:color w:val="0070c0"/>
          <w:szCs w:val="24"/>
          <w:lang w:eastAsia="ru-RU"/>
        </w:rPr>
      </w:r>
    </w:p>
    <w:p>
      <w:pPr>
        <w:pStyle w:val="760"/>
        <w:ind w:left="1134" w:firstLine="284"/>
        <w:jc w:val="both"/>
        <w:spacing w:before="120" w:after="0"/>
        <w:rPr>
          <w:rFonts w:cs="Noto Sans"/>
          <w:szCs w:val="24"/>
        </w:rPr>
      </w:pPr>
      <w:r>
        <w:rPr>
          <w:rFonts w:cs="Noto Sans"/>
          <w:szCs w:val="24"/>
        </w:rPr>
      </w:r>
      <w:r>
        <w:rPr>
          <w:rFonts w:cs="Noto Sans"/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/>
      <w:bookmarkStart w:id="1" w:name="_GoBack"/>
      <w:r/>
      <w:bookmarkEnd w:id="1"/>
      <w:r/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60"/>
        <w:ind w:firstLine="0"/>
        <w:rPr>
          <w:rFonts w:ascii="Calibri" w:hAnsi="Calibri" w:asciiTheme="minorHAnsi" w:hAnsiTheme="minorHAnsi"/>
          <w:szCs w:val="24"/>
        </w:rPr>
      </w:pPr>
      <w:r>
        <w:rPr>
          <w:rFonts w:ascii="Calibri" w:hAnsi="Calibri" w:asciiTheme="minorHAnsi" w:hAnsiTheme="minorHAnsi"/>
          <w:szCs w:val="24"/>
        </w:rPr>
      </w:r>
      <w:r>
        <w:rPr>
          <w:rFonts w:ascii="Calibri" w:hAnsi="Calibri" w:asciiTheme="minorHAnsi" w:hAnsiTheme="minorHAnsi"/>
          <w:szCs w:val="24"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823"/>
            <w:jc w:val="center"/>
            <w:rPr>
              <w:rFonts w:eastAsia="Arial" w:cs="Arial" w:eastAsiaTheme="majorEastAsia" w:cstheme="majorBidi"/>
              <w:bCs w:val="0"/>
              <w:iCs/>
              <w:color w:val="2f5496" w:themeColor="accent1" w:themeShade="BF"/>
              <w:szCs w:val="28"/>
              <w:lang w:eastAsia="ru-RU" w:bidi="ar-SA"/>
            </w:rPr>
          </w:pPr>
          <w:r>
            <w:br w:type="page" w:clear="all"/>
          </w:r>
          <w:r>
            <w:rPr>
              <w:rFonts w:eastAsia="Arial" w:cs="Arial" w:eastAsiaTheme="majorEastAsia" w:cstheme="majorBidi"/>
              <w:bCs w:val="0"/>
              <w:iCs/>
              <w:color w:val="2f5496" w:themeColor="accent1" w:themeShade="BF"/>
              <w:szCs w:val="28"/>
              <w:lang w:eastAsia="ru-RU" w:bidi="ar-SA"/>
            </w:rPr>
            <w:t xml:space="preserve">Содержание</w:t>
          </w:r>
          <w:r>
            <w:rPr>
              <w:rFonts w:eastAsia="Arial" w:cs="Arial" w:eastAsiaTheme="majorEastAsia" w:cstheme="majorBidi"/>
              <w:bCs w:val="0"/>
              <w:iCs/>
              <w:color w:val="2f5496" w:themeColor="accent1" w:themeShade="BF"/>
              <w:szCs w:val="28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>
            <w:fldChar w:fldCharType="begin"/>
          </w:r>
          <w:r>
            <w:rPr>
              <w:b/>
              <w:bCs/>
              <w:i/>
              <w:iCs/>
              <w:sz w:val="20"/>
              <w:szCs w:val="20"/>
              <w:u w:val="none"/>
            </w:rPr>
            <w:instrText xml:space="preserve"> TOC \z \f \o "1-3" \h</w:instrText>
          </w:r>
          <w:r>
            <w:rPr>
              <w:b/>
              <w:bCs/>
              <w:i/>
              <w:iCs/>
              <w:sz w:val="20"/>
              <w:szCs w:val="20"/>
              <w:u w:val="none"/>
            </w:rPr>
            <w:fldChar w:fldCharType="separate"/>
          </w:r>
          <w:hyperlink w:tooltip="#_Toc204262188" w:anchor="_Toc204262188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Аннотация</w:t>
            </w:r>
            <w:r>
              <w:fldChar w:fldCharType="begin"/>
            </w:r>
            <w:r>
              <w:instrText xml:space="preserve">PAGEREF _Toc204262188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3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189" w:anchor="_Toc204262189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Термины и определения</w:t>
            </w:r>
            <w:r>
              <w:fldChar w:fldCharType="begin"/>
            </w:r>
            <w:r>
              <w:instrText xml:space="preserve">PAGEREF _Toc204262189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4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190" w:anchor="_Toc204262190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Перечень сокращений</w:t>
            </w:r>
            <w:r>
              <w:fldChar w:fldCharType="begin"/>
            </w:r>
            <w:r>
              <w:instrText xml:space="preserve">PAGEREF _Toc204262190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5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191" w:anchor="_Toc204262191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1.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Процессы жизненного цикла программного обеспечения</w:t>
            </w:r>
            <w:r>
              <w:fldChar w:fldCharType="begin"/>
            </w:r>
            <w:r>
              <w:instrText xml:space="preserve">PAGEREF _Toc204262191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5"/>
            <w:ind w:left="284" w:firstLine="284"/>
            <w:tabs>
              <w:tab w:val="left" w:pos="1134" w:leader="none"/>
              <w:tab w:val="clear" w:pos="9137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2" w:anchor="_Toc204262192" w:history="1">
            <w:r>
              <w:rPr>
                <w:i/>
                <w:iCs/>
                <w:sz w:val="20"/>
                <w:szCs w:val="20"/>
                <w:u w:val="none"/>
              </w:rPr>
              <w:t xml:space="preserve">1.1.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Общие сведения</w:t>
            </w:r>
            <w:r>
              <w:fldChar w:fldCharType="begin"/>
            </w:r>
            <w:r>
              <w:instrText xml:space="preserve">PAGEREF _Toc204262192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5"/>
            <w:ind w:left="284" w:firstLine="284"/>
            <w:tabs>
              <w:tab w:val="left" w:pos="1134" w:leader="none"/>
              <w:tab w:val="clear" w:pos="9137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3" w:anchor="_Toc204262193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Процессы внедрения программных средств</w:t>
            </w:r>
            <w:r>
              <w:fldChar w:fldCharType="begin"/>
            </w:r>
            <w:r>
              <w:instrText xml:space="preserve">PAGEREF _Toc204262193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1418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4" w:anchor="_Toc204262194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1.2.1.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Основной процесс внедрения</w:t>
            </w:r>
            <w:r>
              <w:fldChar w:fldCharType="begin"/>
            </w:r>
            <w:r>
              <w:instrText xml:space="preserve">PAGEREF _Toc204262194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5" w:anchor="_Toc204262195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1.2.2.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анализа требований к программным средствам</w:t>
            </w:r>
            <w:r>
              <w:fldChar w:fldCharType="begin"/>
            </w:r>
            <w:r>
              <w:instrText xml:space="preserve">PAGEREF _Toc204262195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6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6" w:anchor="_Toc204262196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1.2.3.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Процессы проектирования программных средств</w:t>
            </w:r>
            <w:r>
              <w:fldChar w:fldCharType="begin"/>
            </w:r>
            <w:r>
              <w:instrText xml:space="preserve">PAGEREF _Toc204262196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7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7" w:anchor="_Toc204262197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1.2.4.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конструирования программных средств</w:t>
            </w:r>
            <w:r>
              <w:fldChar w:fldCharType="begin"/>
            </w:r>
            <w:r>
              <w:instrText xml:space="preserve">PAGEREF _Toc204262197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7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8" w:anchor="_Toc204262198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1.2.5.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комплексирования программных средств</w:t>
            </w:r>
            <w:r>
              <w:fldChar w:fldCharType="begin"/>
            </w:r>
            <w:r>
              <w:instrText xml:space="preserve">PAGEREF _Toc204262198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8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199" w:anchor="_Toc204262199" w:history="1">
            <w:r>
              <w:rPr>
                <w:i/>
                <w:iCs/>
                <w:sz w:val="20"/>
                <w:szCs w:val="20"/>
                <w:u w:val="none"/>
              </w:rPr>
              <w:t xml:space="preserve">1.2.6.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квалификационного тестирования программных средств</w:t>
            </w:r>
            <w:r>
              <w:fldChar w:fldCharType="begin"/>
            </w:r>
            <w:r>
              <w:instrText xml:space="preserve">PAGEREF _Toc204262199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8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5"/>
            <w:ind w:left="284" w:firstLine="283"/>
            <w:tabs>
              <w:tab w:val="left" w:pos="709" w:leader="none"/>
              <w:tab w:val="left" w:pos="1100" w:leader="none"/>
              <w:tab w:val="clear" w:pos="9137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200" w:anchor="_Toc204262200" w:history="1">
            <w:r>
              <w:rPr>
                <w:i/>
                <w:iCs/>
                <w:sz w:val="20"/>
                <w:szCs w:val="20"/>
                <w:u w:val="none"/>
              </w:rPr>
              <w:t xml:space="preserve">1.3.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Процессы поддержки программных средств</w:t>
            </w:r>
            <w:r>
              <w:fldChar w:fldCharType="begin"/>
            </w:r>
            <w:r>
              <w:instrText xml:space="preserve">PAGEREF _Toc204262200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9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201" w:anchor="_Toc204262201" w:history="1">
            <w:r>
              <w:rPr>
                <w:i/>
                <w:iCs/>
                <w:sz w:val="20"/>
                <w:szCs w:val="20"/>
                <w:u w:val="none"/>
              </w:rPr>
              <w:t xml:space="preserve">1.3.1.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управления документацией программных средств</w:t>
            </w:r>
            <w:r>
              <w:fldChar w:fldCharType="begin"/>
            </w:r>
            <w:r>
              <w:instrText xml:space="preserve">PAGEREF _Toc204262201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9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202" w:anchor="_Toc204262202" w:history="1">
            <w:r>
              <w:rPr>
                <w:i/>
                <w:iCs/>
                <w:sz w:val="20"/>
                <w:szCs w:val="20"/>
                <w:u w:val="none"/>
              </w:rPr>
              <w:t xml:space="preserve">1.3.2.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управления конфигурацией программных средств</w:t>
            </w:r>
            <w:r>
              <w:fldChar w:fldCharType="begin"/>
            </w:r>
            <w:r>
              <w:instrText xml:space="preserve">PAGEREF _Toc204262202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9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4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203" w:anchor="_Toc204262203" w:history="1">
            <w:r>
              <w:rPr>
                <w:i/>
                <w:iCs/>
                <w:sz w:val="20"/>
                <w:szCs w:val="20"/>
                <w:u w:val="none"/>
              </w:rPr>
              <w:t xml:space="preserve">1.3.3.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обеспечения гарантии качества программных средств</w:t>
            </w:r>
            <w:r>
              <w:fldChar w:fldCharType="begin"/>
            </w:r>
            <w:r>
              <w:instrText xml:space="preserve">PAGEREF _Toc204262203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9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6"/>
            <w:ind w:left="567" w:firstLine="284"/>
            <w:tabs>
              <w:tab w:val="left" w:pos="709" w:leader="none"/>
              <w:tab w:val="left" w:pos="1418" w:leader="none"/>
              <w:tab w:val="left" w:pos="1560" w:leader="none"/>
              <w:tab w:val="clear" w:pos="8853" w:leader="none"/>
              <w:tab w:val="right" w:pos="9356" w:leader="dot"/>
            </w:tabs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pPr>
          <w:r/>
          <w:hyperlink w:tooltip="#_Toc204262204" w:anchor="_Toc204262204" w:history="1">
            <w:r>
              <w:rPr>
                <w:i/>
                <w:iCs/>
                <w:sz w:val="20"/>
                <w:szCs w:val="20"/>
                <w:u w:val="none"/>
              </w:rPr>
              <w:t xml:space="preserve">1.3.4.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i/>
                <w:iCs/>
                <w:sz w:val="20"/>
                <w:szCs w:val="20"/>
                <w:u w:val="none"/>
              </w:rPr>
              <w:t xml:space="preserve">Процесс решения проблем в программных средствах</w:t>
            </w:r>
            <w:r>
              <w:fldChar w:fldCharType="begin"/>
            </w:r>
            <w:r>
              <w:instrText xml:space="preserve">PAGEREF _Toc204262204 \h</w:instrText>
            </w:r>
            <w:r>
              <w:fldChar w:fldCharType="separate"/>
            </w:r>
            <w:r>
              <w:rPr>
                <w:i/>
                <w:iCs/>
                <w:sz w:val="20"/>
                <w:szCs w:val="20"/>
              </w:rPr>
              <w:tab/>
              <w:t xml:space="preserve">9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356" w:leader="dot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205" w:anchor="_Toc204262205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2.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Порядок технической поддержки программного обеспечения</w:t>
            </w:r>
            <w:r>
              <w:fldChar w:fldCharType="begin"/>
            </w:r>
            <w:r>
              <w:instrText xml:space="preserve">PAGEREF _Toc204262205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11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5"/>
            <w:ind w:left="284" w:firstLine="283"/>
            <w:tabs>
              <w:tab w:val="left" w:pos="709" w:leader="none"/>
              <w:tab w:val="left" w:pos="1100" w:leader="none"/>
              <w:tab w:val="clear" w:pos="9137" w:leader="none"/>
              <w:tab w:val="right" w:pos="9356" w:leader="dot"/>
            </w:tabs>
            <w:rPr>
              <w:i/>
              <w:iCs/>
              <w:color w:val="auto"/>
              <w:sz w:val="20"/>
              <w:szCs w:val="20"/>
              <w:u w:val="none"/>
            </w:rPr>
          </w:pPr>
          <w:r/>
          <w:hyperlink w:tooltip="#_Toc204262206" w:anchor="_Toc204262206" w:history="1">
            <w:r>
              <w:fldChar w:fldCharType="begin"/>
            </w:r>
            <w:r>
              <w:instrText xml:space="preserve">PAGEREF _Toc204262206 \h</w:instrText>
            </w:r>
            <w:r>
              <w:fldChar w:fldCharType="separate"/>
            </w:r>
            <w:r>
              <w:rPr>
                <w:i/>
                <w:iCs/>
                <w:color w:val="auto"/>
                <w:sz w:val="20"/>
                <w:szCs w:val="20"/>
                <w:u w:val="none"/>
              </w:rPr>
              <w:t xml:space="preserve">2.1.</w:t>
              <w:tab/>
              <w:t xml:space="preserve">Общие сведения</w:t>
              <w:tab/>
              <w:t xml:space="preserve">11</w:t>
            </w:r>
            <w:r>
              <w:fldChar w:fldCharType="end"/>
            </w:r>
          </w:hyperlink>
          <w:r/>
          <w:r>
            <w:rPr>
              <w:i/>
              <w:iCs/>
              <w:color w:val="auto"/>
              <w:sz w:val="20"/>
              <w:szCs w:val="20"/>
              <w:u w:val="none"/>
            </w:rPr>
          </w:r>
        </w:p>
        <w:p>
          <w:pPr>
            <w:pStyle w:val="825"/>
            <w:ind w:left="284" w:firstLine="283"/>
            <w:tabs>
              <w:tab w:val="left" w:pos="709" w:leader="none"/>
              <w:tab w:val="left" w:pos="1100" w:leader="none"/>
              <w:tab w:val="clear" w:pos="9137" w:leader="none"/>
              <w:tab w:val="right" w:pos="9356" w:leader="dot"/>
            </w:tabs>
            <w:rPr>
              <w:i/>
              <w:iCs/>
              <w:color w:val="auto"/>
              <w:sz w:val="20"/>
              <w:szCs w:val="20"/>
              <w:u w:val="none"/>
            </w:rPr>
          </w:pPr>
          <w:r/>
          <w:hyperlink w:tooltip="#_Toc204262207" w:anchor="_Toc204262207" w:history="1">
            <w:r>
              <w:fldChar w:fldCharType="begin"/>
            </w:r>
            <w:r>
              <w:instrText xml:space="preserve">PAGEREF _Toc204262207 \h</w:instrText>
            </w:r>
            <w:r>
              <w:fldChar w:fldCharType="separate"/>
            </w:r>
            <w:r>
              <w:rPr>
                <w:i/>
                <w:iCs/>
                <w:color w:val="auto"/>
                <w:sz w:val="20"/>
                <w:szCs w:val="20"/>
                <w:u w:val="none"/>
              </w:rPr>
              <w:t xml:space="preserve">2.2.</w:t>
              <w:tab/>
              <w:t xml:space="preserve">Техническая поддержка первого уровня</w:t>
              <w:tab/>
              <w:t xml:space="preserve">11</w:t>
            </w:r>
            <w:r>
              <w:fldChar w:fldCharType="end"/>
            </w:r>
          </w:hyperlink>
          <w:r/>
          <w:r>
            <w:rPr>
              <w:i/>
              <w:iCs/>
              <w:color w:val="auto"/>
              <w:sz w:val="20"/>
              <w:szCs w:val="20"/>
              <w:u w:val="none"/>
            </w:rPr>
          </w:r>
        </w:p>
        <w:p>
          <w:pPr>
            <w:pStyle w:val="825"/>
            <w:ind w:left="284" w:firstLine="283"/>
            <w:tabs>
              <w:tab w:val="left" w:pos="709" w:leader="none"/>
              <w:tab w:val="left" w:pos="1100" w:leader="none"/>
              <w:tab w:val="clear" w:pos="9137" w:leader="none"/>
              <w:tab w:val="right" w:pos="9356" w:leader="dot"/>
            </w:tabs>
            <w:rPr>
              <w:i/>
              <w:iCs/>
              <w:color w:val="auto"/>
              <w:sz w:val="20"/>
              <w:szCs w:val="20"/>
              <w:u w:val="none"/>
            </w:rPr>
          </w:pPr>
          <w:r/>
          <w:hyperlink w:tooltip="#_Toc204262208" w:anchor="_Toc204262208" w:history="1">
            <w:r>
              <w:fldChar w:fldCharType="begin"/>
            </w:r>
            <w:r>
              <w:instrText xml:space="preserve">PAGEREF _Toc204262208 \h</w:instrText>
            </w:r>
            <w:r>
              <w:fldChar w:fldCharType="separate"/>
            </w:r>
            <w:r>
              <w:rPr>
                <w:i/>
                <w:iCs/>
                <w:color w:val="auto"/>
                <w:sz w:val="20"/>
                <w:szCs w:val="20"/>
                <w:u w:val="none"/>
              </w:rPr>
              <w:t xml:space="preserve">2.3.</w:t>
              <w:tab/>
              <w:t xml:space="preserve">Техническая поддержка второго уровня</w:t>
              <w:tab/>
              <w:t xml:space="preserve">11</w:t>
            </w:r>
            <w:r>
              <w:fldChar w:fldCharType="end"/>
            </w:r>
          </w:hyperlink>
          <w:r/>
          <w:r>
            <w:rPr>
              <w:i/>
              <w:iCs/>
              <w:color w:val="auto"/>
              <w:sz w:val="20"/>
              <w:szCs w:val="20"/>
              <w:u w:val="none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356" w:leader="dot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209" w:anchor="_Toc204262209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3.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Устранение неисправностей программного обеспечения</w:t>
            </w:r>
            <w:r>
              <w:fldChar w:fldCharType="begin"/>
            </w:r>
            <w:r>
              <w:instrText xml:space="preserve">PAGEREF _Toc204262209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11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356" w:leader="dot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210" w:anchor="_Toc204262210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4.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Совершенствование программного обеспечения</w:t>
            </w:r>
            <w:r>
              <w:fldChar w:fldCharType="begin"/>
            </w:r>
            <w:r>
              <w:instrText xml:space="preserve">PAGEREF _Toc204262210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13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356" w:leader="dot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211" w:anchor="_Toc204262211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5.</w:t>
            </w:r>
            <w:r>
              <w:rPr>
                <w:rFonts w:ascii="Calibri" w:hAnsi="Calibri" w:eastAsia="Arial" w:cs="Arial"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  <w:lang w:eastAsia="ru-RU" w:bidi="ar-SA"/>
              </w:rPr>
              <w:tab/>
            </w:r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Требования к персоналу</w:t>
            </w:r>
            <w:r>
              <w:fldChar w:fldCharType="begin"/>
            </w:r>
            <w:r>
              <w:instrText xml:space="preserve">PAGEREF _Toc204262211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14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356" w:leader="dot"/>
              <w:tab w:val="right" w:pos="9420" w:leader="dot"/>
            </w:tabs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pPr>
          <w:r/>
          <w:hyperlink w:tooltip="#_Toc204262212" w:anchor="_Toc204262212" w:history="1">
            <w:r>
              <w:rPr>
                <w:b/>
                <w:bCs/>
                <w:i/>
                <w:iCs/>
                <w:sz w:val="20"/>
                <w:szCs w:val="20"/>
                <w:u w:val="none"/>
              </w:rPr>
              <w:t xml:space="preserve">6. Контактные данные производителя ПО</w:t>
            </w:r>
            <w:r>
              <w:fldChar w:fldCharType="begin"/>
            </w:r>
            <w:r>
              <w:instrText xml:space="preserve">PAGEREF _Toc204262212 \h</w:instrText>
            </w:r>
            <w:r>
              <w:fldChar w:fldCharType="separate"/>
            </w:r>
            <w:r>
              <w:rPr>
                <w:b/>
                <w:bCs/>
                <w:i/>
                <w:iCs/>
                <w:sz w:val="20"/>
                <w:szCs w:val="20"/>
              </w:rPr>
              <w:tab/>
              <w:t xml:space="preserve">15</w:t>
            </w:r>
            <w:r>
              <w:fldChar w:fldCharType="end"/>
            </w:r>
          </w:hyperlink>
          <w:r/>
          <w:r>
            <w:rPr>
              <w:rFonts w:ascii="Calibri" w:hAnsi="Calibri" w:eastAsia="Arial" w:cs="Arial" w:asciiTheme="minorHAnsi" w:hAnsiTheme="minorHAnsi" w:eastAsiaTheme="minorEastAsia" w:cstheme="minorBidi"/>
              <w:b/>
              <w:bCs/>
              <w:i/>
              <w:iCs/>
              <w:sz w:val="20"/>
              <w:szCs w:val="20"/>
              <w:lang w:eastAsia="ru-RU" w:bidi="ar-SA"/>
            </w:rPr>
          </w:r>
        </w:p>
        <w:p>
          <w:pPr>
            <w:pStyle w:val="824"/>
            <w:jc w:val="both"/>
            <w:tabs>
              <w:tab w:val="left" w:pos="709" w:leader="none"/>
              <w:tab w:val="right" w:pos="9420" w:leader="dot"/>
            </w:tabs>
            <w:rPr>
              <w:szCs w:val="24"/>
            </w:rPr>
          </w:pPr>
          <w:r>
            <w:rPr>
              <w:szCs w:val="24"/>
            </w:rPr>
          </w:r>
          <w:r>
            <w:rPr>
              <w:szCs w:val="24"/>
            </w:rPr>
            <w:fldChar w:fldCharType="end"/>
          </w:r>
          <w:r>
            <w:rPr>
              <w:szCs w:val="24"/>
            </w:rPr>
          </w:r>
        </w:p>
      </w:sdtContent>
    </w:sdt>
    <w:p>
      <w:pPr>
        <w:pStyle w:val="760"/>
        <w:jc w:val="both"/>
        <w:rPr>
          <w:szCs w:val="24"/>
        </w:rPr>
      </w:pPr>
      <w:r>
        <w:rPr>
          <w:szCs w:val="24"/>
        </w:rPr>
      </w:r>
      <w:r>
        <w:br w:type="page" w:clear="all"/>
      </w:r>
      <w:r>
        <w:rPr>
          <w:szCs w:val="24"/>
        </w:rPr>
      </w:r>
    </w:p>
    <w:p>
      <w:pPr>
        <w:pStyle w:val="761"/>
        <w:jc w:val="both"/>
      </w:pPr>
      <w:r/>
      <w:bookmarkStart w:id="2" w:name="_Toc204262188"/>
      <w:r>
        <w:t xml:space="preserve">Аннотация</w:t>
      </w:r>
      <w:bookmarkEnd w:id="2"/>
      <w:r>
        <w:t xml:space="preserve"> </w:t>
      </w:r>
      <w:r/>
    </w:p>
    <w:p>
      <w:pPr>
        <w:pStyle w:val="831"/>
      </w:pPr>
      <w:r>
        <w:t xml:space="preserve">Данный документ содержит: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описание процессов, обеспечивающих поддержание жизненного цикла программного обеспечения;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устранение неисправностей, выявленных в ходе эксплуатации программного обеспечения;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совершенствование программного обеспечения;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информацию о персонале, необходимом для обеспечения такой поддержки.</w:t>
      </w:r>
      <w:r/>
    </w:p>
    <w:p>
      <w:pPr>
        <w:pStyle w:val="760"/>
        <w:ind w:left="284" w:firstLine="283"/>
        <w:jc w:val="both"/>
        <w:spacing w:before="120" w:after="0"/>
        <w:rPr>
          <w:rFonts w:ascii="Calibri" w:hAnsi="Calibri" w:eastAsia="Times New Roman" w:cs="Times New Roman" w:asciiTheme="minorHAnsi" w:hAnsiTheme="minorHAnsi"/>
          <w:szCs w:val="24"/>
        </w:rPr>
      </w:pPr>
      <w:r>
        <w:rPr>
          <w:rFonts w:eastAsia="Times New Roman" w:cs="Times New Roman"/>
          <w:szCs w:val="24"/>
        </w:rPr>
        <w:t xml:space="preserve">Данный документ предназначен для администраторов программного обеспечения Тиллиум.Касса.</w:t>
      </w:r>
      <w:bookmarkStart w:id="3" w:name="page4"/>
      <w:r/>
      <w:r>
        <w:rPr>
          <w:rFonts w:ascii="Calibri" w:hAnsi="Calibri" w:eastAsia="Times New Roman" w:cs="Times New Roman" w:asciiTheme="minorHAnsi" w:hAnsiTheme="minorHAnsi"/>
          <w:szCs w:val="24"/>
        </w:rPr>
      </w:r>
    </w:p>
    <w:p>
      <w:pPr>
        <w:pStyle w:val="760"/>
        <w:ind w:firstLine="0"/>
        <w:jc w:val="both"/>
        <w:rPr>
          <w:rFonts w:ascii="Calibri" w:hAnsi="Calibri" w:eastAsia="Times New Roman" w:cs="Times New Roman" w:asciiTheme="minorHAnsi" w:hAnsiTheme="minorHAnsi"/>
          <w:szCs w:val="24"/>
        </w:rPr>
      </w:pPr>
      <w:r>
        <w:rPr>
          <w:rFonts w:ascii="Calibri" w:hAnsi="Calibri" w:eastAsia="Times New Roman" w:cs="Times New Roman"/>
          <w:szCs w:val="24"/>
        </w:rPr>
      </w:r>
      <w:r>
        <w:br w:type="page" w:clear="all"/>
      </w:r>
      <w:r>
        <w:rPr>
          <w:rFonts w:ascii="Calibri" w:hAnsi="Calibri" w:eastAsia="Times New Roman" w:cs="Times New Roman" w:asciiTheme="minorHAnsi" w:hAnsiTheme="minorHAnsi"/>
          <w:szCs w:val="24"/>
        </w:rPr>
      </w:r>
    </w:p>
    <w:p>
      <w:pPr>
        <w:pStyle w:val="761"/>
        <w:jc w:val="both"/>
      </w:pPr>
      <w:r/>
      <w:bookmarkStart w:id="4" w:name="_Toc204262189"/>
      <w:r/>
      <w:bookmarkEnd w:id="3"/>
      <w:r>
        <w:t xml:space="preserve">Термины и определения</w:t>
      </w:r>
      <w:bookmarkEnd w:id="4"/>
      <w:r/>
      <w:r/>
    </w:p>
    <w:p>
      <w:pPr>
        <w:pStyle w:val="831"/>
      </w:pPr>
      <w:r>
        <w:t xml:space="preserve">В документе использованы следующие термины:</w:t>
      </w:r>
      <w:r/>
    </w:p>
    <w:tbl>
      <w:tblPr>
        <w:tblW w:w="9405" w:type="dxa"/>
        <w:jc w:val="center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019"/>
        <w:gridCol w:w="538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760"/>
              <w:ind w:firstLine="0"/>
              <w:jc w:val="both"/>
              <w:widowControl w:val="off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Термин</w:t>
            </w:r>
            <w:r>
              <w:rPr>
                <w:rFonts w:eastAsia="Times New Roman" w:cs="Times New Roman"/>
                <w:b/>
                <w:bCs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760"/>
              <w:ind w:firstLine="0"/>
              <w:jc w:val="both"/>
              <w:widowControl w:val="off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Определение</w:t>
            </w:r>
            <w:r>
              <w:rPr>
                <w:rFonts w:eastAsia="Times New Roman" w:cs="Times New Roman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Базовая линия (baseline)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Жизненный цикл (life cycle)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Квалификационное тестирование(qualification testing)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Тестирование, проводимо</w:t>
            </w:r>
            <w:r>
              <w:t xml:space="preserve">е разработчиком и санкционированное приобретающей стороной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Комплексирование (integration)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Объединение системных элем</w:t>
            </w:r>
            <w:r>
              <w:t xml:space="preserve">ентов (включая составные части технических и программных средств, ручные операции и другие системы, при необходимости) для производства полной системы, которая будет удовлетворять системному проекту и ожиданиям заказчика, выраженным в системных требованиях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9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Конструирование (construction)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5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Создание исполняемых программных блоков, которые должным образом отражают проектирование программных средств</w:t>
            </w:r>
            <w:r/>
          </w:p>
        </w:tc>
      </w:tr>
    </w:tbl>
    <w:p>
      <w:pPr>
        <w:pStyle w:val="761"/>
        <w:jc w:val="both"/>
      </w:pPr>
      <w:r/>
      <w:r>
        <w:br w:type="page" w:clear="all"/>
      </w:r>
      <w:r/>
    </w:p>
    <w:p>
      <w:pPr>
        <w:pStyle w:val="761"/>
        <w:jc w:val="both"/>
      </w:pPr>
      <w:r/>
      <w:bookmarkStart w:id="5" w:name="_Toc204262190"/>
      <w:r>
        <w:t xml:space="preserve">Перечень сокращений</w:t>
      </w:r>
      <w:bookmarkEnd w:id="5"/>
      <w:r>
        <w:t xml:space="preserve"> </w:t>
      </w:r>
      <w:r/>
    </w:p>
    <w:p>
      <w:pPr>
        <w:pStyle w:val="831"/>
      </w:pPr>
      <w:r>
        <w:t xml:space="preserve">В документе использованы следующие сокращения:</w:t>
      </w:r>
      <w:r/>
    </w:p>
    <w:tbl>
      <w:tblPr>
        <w:tblW w:w="5000" w:type="pct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433"/>
        <w:gridCol w:w="718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Сокращение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Определение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ОС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Операционная система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ПО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Программное обеспечение, программа для ЭВМ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СТП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Служба технической поддержки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ТЗ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83" w:type="dxa"/>
            <w:textDirection w:val="lrTb"/>
            <w:noWrap w:val="false"/>
          </w:tcPr>
          <w:p>
            <w:pPr>
              <w:pStyle w:val="831"/>
              <w:spacing w:before="120" w:after="0"/>
              <w:widowControl w:val="off"/>
            </w:pPr>
            <w:r>
              <w:t xml:space="preserve">Техническое задание</w:t>
            </w:r>
            <w:bookmarkStart w:id="6" w:name="page61"/>
            <w:r/>
            <w:bookmarkEnd w:id="6"/>
            <w:r/>
            <w:r/>
          </w:p>
        </w:tc>
      </w:tr>
    </w:tbl>
    <w:p>
      <w:pPr>
        <w:pStyle w:val="761"/>
        <w:jc w:val="both"/>
      </w:pPr>
      <w:r/>
      <w:r>
        <w:br w:type="page" w:clear="all"/>
      </w:r>
      <w:r/>
    </w:p>
    <w:p>
      <w:pPr>
        <w:pStyle w:val="761"/>
        <w:jc w:val="both"/>
      </w:pPr>
      <w:r/>
      <w:bookmarkStart w:id="7" w:name="_Toc204262191"/>
      <w:r>
        <w:t xml:space="preserve">1.</w:t>
      </w:r>
      <w:r>
        <w:rPr>
          <w:rFonts w:ascii="Calibri" w:hAnsi="Calibri" w:asciiTheme="minorHAnsi" w:hAnsiTheme="minorHAnsi"/>
        </w:rPr>
        <w:tab/>
      </w:r>
      <w:r>
        <w:t xml:space="preserve">Процессы жизненного цикла программного обеспечения</w:t>
      </w:r>
      <w:bookmarkEnd w:id="7"/>
      <w:r/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8" w:name="_Toc204262192"/>
      <w:r>
        <w:t xml:space="preserve">1.1.</w:t>
        <w:tab/>
        <w:t xml:space="preserve">Общие сведения</w:t>
      </w:r>
      <w:bookmarkEnd w:id="8"/>
      <w:r/>
      <w:r/>
    </w:p>
    <w:p>
      <w:pPr>
        <w:pStyle w:val="831"/>
      </w:pPr>
      <w:r>
        <w:t xml:space="preserve">Жизненный цикл программных средств, входящих в состав ПО Тиллиум.Касса, обеспечивается в соответствии с требованиями ГОСТ Р ИСО/МЭК 12207-2010. Основные процессы жизненного цикла программных средств в соответствии с указанным ГОСТ описаны в данном разделе.</w:t>
      </w:r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9" w:name="_Toc204262193"/>
      <w:r>
        <w:t xml:space="preserve">1.2.</w:t>
        <w:tab/>
        <w:t xml:space="preserve">Процессы внедрения программных средств</w:t>
      </w:r>
      <w:bookmarkEnd w:id="9"/>
      <w:r/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0" w:name="_Toc204262194"/>
      <w:r>
        <w:t xml:space="preserve">1.2.1.</w:t>
        <w:tab/>
        <w:t xml:space="preserve">Основной процесс внедрения</w:t>
      </w:r>
      <w:bookmarkEnd w:id="10"/>
      <w:r/>
      <w:r/>
    </w:p>
    <w:p>
      <w:pPr>
        <w:pStyle w:val="831"/>
      </w:pPr>
      <w:r>
        <w:t xml:space="preserve">В результате успешного осуществления основного процесса внедрения (в ГОСТ Р ИСО/МЭК 12207-2010 используется термин «реализации»)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определяется стратегия внедрения;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ограничения по технологии реализации проекта;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изготавливается программная составная часть;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программная составная часть упаковывается и хранится в соответствии с соглашением о ее поставке.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1" w:name="_Toc204262195"/>
      <w:r>
        <w:t xml:space="preserve">1.2.2.</w:t>
      </w:r>
      <w:r>
        <w:rPr>
          <w:rFonts w:ascii="Calibri" w:hAnsi="Calibri" w:asciiTheme="minorHAnsi" w:hAnsiTheme="minorHAnsi"/>
        </w:rPr>
        <w:tab/>
      </w:r>
      <w:r>
        <w:t xml:space="preserve">Процесс анализа требований к программным средствам</w:t>
      </w:r>
      <w:bookmarkEnd w:id="11"/>
      <w:r/>
      <w:r/>
    </w:p>
    <w:p>
      <w:pPr>
        <w:pStyle w:val="831"/>
      </w:pPr>
      <w:r>
        <w:t xml:space="preserve">В результате успешного осуществления процесса анализа требований к программным средствам: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требования к программным элементам системы и их интерфейсам;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требования к программным средствам анализируются на корректность и тестируемость;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осознается воздействие требований к программным средствам на среду функционирования;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устанавливается совместимость и прослеживаемость между требованиями к программным средствам и требованиями к системе;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приоритеты реализации требований к программным средствам;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требования к программным средствам принимаются и обновляются по мере необходимости;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оцениваются изменения в требованиях к программным средствам по стоимости, графикам работ и техническим воздействиям;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требования к программным средствам воплощаются в виде базовых линий и доводятся до сведения заинтересованных сторон.</w:t>
      </w:r>
      <w:r/>
    </w:p>
    <w:p>
      <w:pPr>
        <w:pStyle w:val="763"/>
        <w:numPr>
          <w:ilvl w:val="0"/>
          <w:numId w:val="0"/>
        </w:numPr>
        <w:ind w:left="0" w:firstLine="0"/>
        <w:jc w:val="both"/>
      </w:pPr>
      <w:r/>
      <w:r>
        <w:br w:type="page" w:clear="all"/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2" w:name="_Toc204262196"/>
      <w:r>
        <w:t xml:space="preserve">1.2.3.</w:t>
      </w:r>
      <w:r>
        <w:rPr>
          <w:rFonts w:ascii="Calibri" w:hAnsi="Calibri" w:asciiTheme="minorHAnsi" w:hAnsiTheme="minorHAnsi"/>
        </w:rPr>
        <w:tab/>
      </w:r>
      <w:r>
        <w:t xml:space="preserve">Процессы проектирования программных средств</w:t>
      </w:r>
      <w:bookmarkEnd w:id="12"/>
      <w:r/>
      <w:r/>
    </w:p>
    <w:p>
      <w:pPr>
        <w:pStyle w:val="831"/>
      </w:pPr>
      <w:r>
        <w:t xml:space="preserve">В результате успешной реализации процесса проектирования архитектуры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  <w:bookmarkStart w:id="13" w:name="page7"/>
      <w:r/>
      <w:bookmarkEnd w:id="13"/>
      <w:r/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внутренние и внешние интерфейсы каждой программной составной части;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устанавливаются согласованность и прослеживаемость между требованиями к программным средствам и программным проектом.</w:t>
      </w:r>
      <w:r/>
    </w:p>
    <w:p>
      <w:pPr>
        <w:pStyle w:val="831"/>
        <w:ind w:left="284" w:firstLine="284"/>
      </w:pPr>
      <w:r>
        <w:t xml:space="preserve">В результате успешного осуществления процесса детального проектирования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детальный проект каждого программного компонента, описывающий создаваемые программные модули;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внешние интерфейсы каждого программного модуля и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устанавливается совместимость и прослеживаемость между детальным проектированием, требованиями и проектированием архитектуры.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4" w:name="_Toc204262197"/>
      <w:r>
        <w:t xml:space="preserve">1.2.4.</w:t>
      </w:r>
      <w:r>
        <w:rPr>
          <w:rFonts w:ascii="Calibri" w:hAnsi="Calibri" w:asciiTheme="minorHAnsi" w:hAnsiTheme="minorHAnsi"/>
        </w:rPr>
        <w:tab/>
      </w:r>
      <w:r>
        <w:t xml:space="preserve">Процесс конструирования программных средств</w:t>
      </w:r>
      <w:bookmarkEnd w:id="14"/>
      <w:r/>
      <w:r/>
    </w:p>
    <w:p>
      <w:pPr>
        <w:pStyle w:val="831"/>
      </w:pPr>
      <w:r>
        <w:t xml:space="preserve">В результате успешного осуществления процесса конструирования программных средств:</w:t>
      </w:r>
      <w:r/>
    </w:p>
    <w:p>
      <w:pPr>
        <w:pStyle w:val="831"/>
        <w:ind w:left="284" w:firstLine="284"/>
      </w:pPr>
      <w:r>
        <w:t xml:space="preserve">– </w:t>
      </w:r>
      <w:r>
        <w:t xml:space="preserve">определяются критерии верификации для всех программных блоков относительно требований;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изготавливаются программные блоки, определенные проектом;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устанавливается совместимость и прослеживаемость между программными блоками, требованиями и проектом;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завершается верификация программных блоков относительно требований и проекта.</w:t>
      </w:r>
      <w:r/>
    </w:p>
    <w:p>
      <w:pPr>
        <w:pStyle w:val="763"/>
        <w:numPr>
          <w:ilvl w:val="0"/>
          <w:numId w:val="0"/>
        </w:numPr>
        <w:ind w:left="0" w:firstLine="0"/>
        <w:jc w:val="both"/>
      </w:pPr>
      <w:r/>
      <w:r>
        <w:br w:type="page" w:clear="all"/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5" w:name="_Toc204262198"/>
      <w:r>
        <w:t xml:space="preserve">1.2.5.</w:t>
      </w:r>
      <w:r>
        <w:rPr>
          <w:rFonts w:ascii="Calibri" w:hAnsi="Calibri" w:asciiTheme="minorHAnsi" w:hAnsiTheme="minorHAnsi"/>
        </w:rPr>
        <w:tab/>
      </w:r>
      <w:r>
        <w:t xml:space="preserve">Процесс комплексирования программных средств</w:t>
      </w:r>
      <w:bookmarkEnd w:id="15"/>
      <w:r/>
      <w:r/>
    </w:p>
    <w:p>
      <w:pPr>
        <w:pStyle w:val="831"/>
      </w:pPr>
      <w:r>
        <w:t xml:space="preserve">В результате успешного осуществления процесса комплексирования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разрабатываются критерии верификации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программные составные части верифицируются с использованием определенных критериев;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программные составные части, определенные стратегией комплексирования, изготавливаются;</w:t>
      </w:r>
      <w:r/>
    </w:p>
    <w:p>
      <w:pPr>
        <w:pStyle w:val="831"/>
        <w:ind w:left="567" w:firstLine="1"/>
      </w:pPr>
      <w:r>
        <w:t xml:space="preserve">–  </w:t>
      </w:r>
      <w:r>
        <w:t xml:space="preserve">регистрируются результаты комплексного тестирования;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устанавливаются согласованность и прослеживаемость между программным проектом и программными составными частями;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6" w:name="_Toc204262199"/>
      <w:r>
        <w:t xml:space="preserve">1.2.6.</w:t>
      </w:r>
      <w:r>
        <w:rPr>
          <w:rFonts w:ascii="Calibri" w:hAnsi="Calibri" w:asciiTheme="minorHAnsi" w:hAnsiTheme="minorHAnsi"/>
        </w:rPr>
        <w:tab/>
      </w:r>
      <w:r>
        <w:t xml:space="preserve">Процесс квалификационного тестирования программных средств</w:t>
      </w:r>
      <w:bookmarkEnd w:id="16"/>
      <w:r/>
      <w:r/>
    </w:p>
    <w:p>
      <w:pPr>
        <w:pStyle w:val="831"/>
      </w:pPr>
      <w:r>
        <w:t xml:space="preserve">В результате успешного осуществления процесса квалификационного тестирования программных средств:</w:t>
      </w:r>
      <w:bookmarkStart w:id="17" w:name="page8"/>
      <w:r/>
      <w:bookmarkEnd w:id="17"/>
      <w:r/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комплектованные программные средства верифицируются с использованием определенных критериев;</w:t>
      </w:r>
      <w:r/>
    </w:p>
    <w:p>
      <w:pPr>
        <w:pStyle w:val="831"/>
        <w:ind w:left="567" w:firstLine="1"/>
      </w:pPr>
      <w:r>
        <w:t xml:space="preserve">–  </w:t>
      </w:r>
      <w:r>
        <w:t xml:space="preserve">записываются результаты тестирования;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  <w:r/>
    </w:p>
    <w:p>
      <w:pPr>
        <w:pStyle w:val="762"/>
        <w:numPr>
          <w:ilvl w:val="0"/>
          <w:numId w:val="0"/>
        </w:numPr>
        <w:ind w:left="0" w:firstLine="0"/>
        <w:jc w:val="both"/>
      </w:pPr>
      <w:r/>
      <w:r>
        <w:br w:type="page" w:clear="all"/>
      </w:r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18" w:name="_Toc204262200"/>
      <w:r>
        <w:t xml:space="preserve">1.3.</w:t>
        <w:tab/>
        <w:t xml:space="preserve">Процессы поддержки программных средств</w:t>
      </w:r>
      <w:bookmarkEnd w:id="18"/>
      <w:r/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19" w:name="_Toc204262201"/>
      <w:r>
        <w:t xml:space="preserve">1.3.1.</w:t>
        <w:tab/>
        <w:t xml:space="preserve">Процесс управления документацией программных средств</w:t>
      </w:r>
      <w:bookmarkEnd w:id="19"/>
      <w:r/>
      <w:r/>
    </w:p>
    <w:p>
      <w:pPr>
        <w:pStyle w:val="831"/>
      </w:pPr>
      <w:r>
        <w:t xml:space="preserve">В результате успешного осуществления процесса управления документацией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стратегия идентификации документации, которая реализуется в течение жизненного цикла программного продукта или услуги;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определяются стандарты, которые применяются при разработке программной документации;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определяется документация, которая производится процессом или проектом;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указываются, рассматриваются и утверждаются содержание и цели всей документации;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документация разрабатывается и делается доступной в соответствии с определенными стандартами;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документация сопровождается в соответствии с определенными критериями.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20" w:name="_Toc204262202"/>
      <w:r>
        <w:t xml:space="preserve">1.3.2.</w:t>
      </w:r>
      <w:r>
        <w:rPr>
          <w:rFonts w:ascii="Calibri" w:hAnsi="Calibri" w:asciiTheme="minorHAnsi" w:hAnsiTheme="minorHAnsi"/>
        </w:rPr>
        <w:tab/>
      </w:r>
      <w:r>
        <w:t xml:space="preserve">Процесс управления конфигурацией программных средств</w:t>
      </w:r>
      <w:bookmarkEnd w:id="20"/>
      <w:r/>
      <w:r/>
    </w:p>
    <w:p>
      <w:pPr>
        <w:pStyle w:val="831"/>
      </w:pPr>
      <w:r>
        <w:t xml:space="preserve">В результате успешного осуществления процесса управления конфигурацией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стратегия управления конфигурацией программных средств;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составные части, порождаемые процессом или проектом, идентифицируются, определяются и вводятся в базовую линию;</w:t>
      </w:r>
      <w:r/>
    </w:p>
    <w:p>
      <w:pPr>
        <w:pStyle w:val="831"/>
        <w:ind w:left="567" w:firstLine="1"/>
      </w:pPr>
      <w:r>
        <w:t xml:space="preserve">– </w:t>
      </w:r>
      <w:r>
        <w:t xml:space="preserve">контролируются модификации и выпуски этих составных частей;</w:t>
      </w:r>
      <w:r/>
    </w:p>
    <w:p>
      <w:pPr>
        <w:pStyle w:val="831"/>
        <w:ind w:left="567" w:firstLine="1"/>
      </w:pPr>
      <w:r>
        <w:t xml:space="preserve">– </w:t>
      </w:r>
      <w:r>
        <w:t xml:space="preserve">обеспечивается доступность модификаций и выпусков для заинтересованных сторон;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регистрируется и сообщается статус составных частей и модификаций;</w:t>
      </w:r>
      <w:r/>
    </w:p>
    <w:p>
      <w:pPr>
        <w:pStyle w:val="831"/>
        <w:ind w:left="567" w:firstLine="1"/>
      </w:pPr>
      <w:r>
        <w:t xml:space="preserve">– </w:t>
      </w:r>
      <w:r>
        <w:t xml:space="preserve">гарантируются завершенность и согласованность составных частей;</w:t>
      </w:r>
      <w:r/>
    </w:p>
    <w:p>
      <w:pPr>
        <w:pStyle w:val="831"/>
        <w:ind w:left="567" w:firstLine="1"/>
      </w:pPr>
      <w:r>
        <w:t xml:space="preserve">– </w:t>
      </w:r>
      <w:r>
        <w:t xml:space="preserve">контролируются хранение, обработка и поставка составных частей.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21" w:name="_Toc204262203"/>
      <w:r>
        <w:t xml:space="preserve">1.3.3.</w:t>
      </w:r>
      <w:r>
        <w:rPr>
          <w:rFonts w:ascii="Calibri" w:hAnsi="Calibri" w:asciiTheme="minorHAnsi" w:hAnsiTheme="minorHAnsi"/>
        </w:rPr>
        <w:tab/>
      </w:r>
      <w:r>
        <w:t xml:space="preserve">Процесс обеспечения гарантии качества программных средств</w:t>
      </w:r>
      <w:bookmarkEnd w:id="21"/>
      <w:r/>
      <w:r/>
    </w:p>
    <w:p>
      <w:pPr>
        <w:pStyle w:val="831"/>
      </w:pPr>
      <w:r>
        <w:t xml:space="preserve">В результате успешного осуществления процесса гарантии качества программных средств: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стратегия обеспечения гарантии качества;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создается и поддерживается свидетельство гарантии качества;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идентифицируются и регистрируются проблемы и (или) несоответствия с требованиями;</w:t>
      </w:r>
      <w:bookmarkStart w:id="22" w:name="page9"/>
      <w:r/>
      <w:bookmarkEnd w:id="22"/>
      <w:r/>
      <w:r/>
    </w:p>
    <w:p>
      <w:pPr>
        <w:pStyle w:val="831"/>
        <w:ind w:left="567" w:firstLine="1"/>
      </w:pPr>
      <w:r>
        <w:t xml:space="preserve">– </w:t>
      </w:r>
      <w:r>
        <w:t xml:space="preserve">верифицируется соблюдение продукцией, процессами и действиями соответствующих стандартов, процедур и требований.</w:t>
      </w:r>
      <w:r/>
    </w:p>
    <w:p>
      <w:pPr>
        <w:pStyle w:val="763"/>
        <w:numPr>
          <w:ilvl w:val="2"/>
          <w:numId w:val="1"/>
        </w:numPr>
        <w:ind w:firstLine="851"/>
        <w:jc w:val="both"/>
      </w:pPr>
      <w:r/>
      <w:bookmarkStart w:id="23" w:name="_Toc204262204"/>
      <w:r>
        <w:t xml:space="preserve">1.3.4.</w:t>
      </w:r>
      <w:r>
        <w:rPr>
          <w:rFonts w:ascii="Calibri" w:hAnsi="Calibri" w:asciiTheme="minorHAnsi" w:hAnsiTheme="minorHAnsi"/>
        </w:rPr>
        <w:tab/>
      </w:r>
      <w:r>
        <w:t xml:space="preserve">Процесс решения проблем в программных средствах</w:t>
      </w:r>
      <w:bookmarkEnd w:id="23"/>
      <w:r/>
      <w:r/>
    </w:p>
    <w:p>
      <w:pPr>
        <w:pStyle w:val="831"/>
      </w:pPr>
      <w:r>
        <w:t xml:space="preserve">В результате успешной реализации процесса решения проблем в программных средствах:</w:t>
      </w:r>
      <w:r/>
    </w:p>
    <w:p>
      <w:pPr>
        <w:pStyle w:val="831"/>
        <w:ind w:left="567" w:firstLine="1"/>
      </w:pPr>
      <w:r>
        <w:t xml:space="preserve">– </w:t>
      </w:r>
      <w:r>
        <w:t xml:space="preserve">разрабатывается стратегия менеджмента проблем;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проблемы регистрируются, идентифицируются и классифицируются;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проблемы анализируются и оцениваются для определения приемлемого решения (решений);</w:t>
      </w:r>
      <w:r/>
    </w:p>
    <w:p>
      <w:pPr>
        <w:pStyle w:val="831"/>
        <w:ind w:left="567" w:firstLine="1"/>
      </w:pPr>
      <w:r>
        <w:t xml:space="preserve">– </w:t>
      </w:r>
      <w:r>
        <w:t xml:space="preserve">выполняется решение проблем;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проблемы отслеживаются вплоть до их закрытия;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известно текущее состояние всех зафиксированных проблем.</w:t>
      </w:r>
      <w:bookmarkStart w:id="24" w:name="page11"/>
      <w:r/>
      <w:bookmarkEnd w:id="24"/>
      <w:r/>
      <w:r/>
    </w:p>
    <w:p>
      <w:pPr>
        <w:pStyle w:val="761"/>
        <w:jc w:val="both"/>
      </w:pPr>
      <w:r/>
      <w:r>
        <w:br w:type="page" w:clear="all"/>
      </w:r>
      <w:r/>
    </w:p>
    <w:p>
      <w:pPr>
        <w:pStyle w:val="761"/>
        <w:jc w:val="both"/>
      </w:pPr>
      <w:r/>
      <w:bookmarkStart w:id="25" w:name="_Toc204262205"/>
      <w:r>
        <w:t xml:space="preserve">2.</w:t>
      </w:r>
      <w:r>
        <w:rPr>
          <w:rFonts w:ascii="Calibri" w:hAnsi="Calibri" w:asciiTheme="minorHAnsi" w:hAnsiTheme="minorHAnsi"/>
        </w:rPr>
        <w:tab/>
      </w:r>
      <w:r>
        <w:t xml:space="preserve">Порядок технической поддержки программного обеспечения</w:t>
      </w:r>
      <w:bookmarkEnd w:id="25"/>
      <w:r/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26" w:name="_Toc204262206"/>
      <w:r>
        <w:t xml:space="preserve">2.1.</w:t>
        <w:tab/>
        <w:t xml:space="preserve">Общие сведения</w:t>
      </w:r>
      <w:bookmarkEnd w:id="26"/>
      <w:r/>
      <w:r/>
    </w:p>
    <w:p>
      <w:pPr>
        <w:pStyle w:val="831"/>
      </w:pPr>
      <w:r>
        <w:t xml:space="preserve">Техническая поддержка пользователей ПО Тиллиум:Касса оказывается непосредственно производителем ПО или авторизованными сервисными центрами. В данном разделе описываются минимальные требования к условиям технической поддержки.</w:t>
      </w:r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27" w:name="_Toc204262207"/>
      <w:r>
        <w:t xml:space="preserve">2.2.</w:t>
        <w:tab/>
        <w:t xml:space="preserve">Техническая поддержка первого уровня</w:t>
      </w:r>
      <w:bookmarkEnd w:id="27"/>
      <w:r/>
      <w:r/>
    </w:p>
    <w:p>
      <w:pPr>
        <w:pStyle w:val="831"/>
      </w:pPr>
      <w:r>
        <w:t xml:space="preserve">Т</w:t>
      </w:r>
      <w:r>
        <w:t xml:space="preserve">ехническая поддержка первого уровня подразумевает регистрацию обращения и консультацию, оказываемую конечному пользователю производителем ПО. Она осуществляется по телефону и электронной почте в режиме 8х5 (восемь часов в день, пять рабочих дней в неделю).</w:t>
      </w:r>
      <w:r/>
    </w:p>
    <w:p>
      <w:pPr>
        <w:pStyle w:val="762"/>
        <w:numPr>
          <w:ilvl w:val="1"/>
          <w:numId w:val="1"/>
        </w:numPr>
        <w:ind w:left="284" w:firstLine="284"/>
        <w:jc w:val="both"/>
      </w:pPr>
      <w:r/>
      <w:bookmarkStart w:id="28" w:name="_Toc204262208"/>
      <w:r>
        <w:t xml:space="preserve">2.3.</w:t>
        <w:tab/>
        <w:t xml:space="preserve">Техническая поддержка второго уровня</w:t>
      </w:r>
      <w:bookmarkEnd w:id="28"/>
      <w:r/>
      <w:r/>
    </w:p>
    <w:p>
      <w:pPr>
        <w:pStyle w:val="831"/>
      </w:pPr>
      <w:r>
        <w:t xml:space="preserve">Под технической поддержкой второго уровня понимается устранение возникших неполадок, осуществляемое техническими специалистами производителя ПО, в режиме 8х5 (восемь часов в день, пять рабочих дней в неделю).</w:t>
      </w:r>
      <w:r/>
    </w:p>
    <w:p>
      <w:pPr>
        <w:pStyle w:val="831"/>
      </w:pPr>
      <w:r>
        <w:t xml:space="preserve">В рамках технической поддержки первого и второго уровня оказываются следующие услуги:</w:t>
      </w:r>
      <w:r/>
    </w:p>
    <w:p>
      <w:pPr>
        <w:pStyle w:val="831"/>
        <w:ind w:left="284" w:firstLine="284"/>
      </w:pPr>
      <w:r>
        <w:t xml:space="preserve">– </w:t>
      </w:r>
      <w:r>
        <w:t xml:space="preserve">консультации технических специалистов по ПО Тиллиум.Касса;</w:t>
      </w:r>
      <w:r/>
    </w:p>
    <w:p>
      <w:pPr>
        <w:pStyle w:val="831"/>
        <w:ind w:left="284" w:firstLine="284"/>
      </w:pPr>
      <w:r>
        <w:t xml:space="preserve">– </w:t>
      </w:r>
      <w:r>
        <w:t xml:space="preserve">предоставление необходимых руководств по ПО Тиллиум.Касса;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предоставление рекомендаций или готовых решений по устранению проблем, возникающих у пользователя в процессе установки или эксплуатации ПО Тиллиум.Касса;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предоставление обновлений, повышающих функциональность или устраняющих ошибки в работе ПО Тиллиум.Касса;</w:t>
      </w:r>
      <w:r/>
    </w:p>
    <w:p>
      <w:pPr>
        <w:pStyle w:val="831"/>
        <w:ind w:left="567" w:firstLine="1"/>
      </w:pPr>
      <w:r>
        <w:t xml:space="preserve">– </w:t>
      </w:r>
      <w:r>
        <w:t xml:space="preserve">выезд специалиста производителя ПО для проведения обследования и устранения проблемы.</w:t>
      </w:r>
      <w:r/>
    </w:p>
    <w:p>
      <w:pPr>
        <w:pStyle w:val="831"/>
        <w:ind w:left="567" w:firstLine="1"/>
      </w:pPr>
      <w:r>
        <w:t xml:space="preserve">Техническая поддержка оказывается производителем ПО только в случае:</w:t>
      </w:r>
      <w:r/>
    </w:p>
    <w:p>
      <w:pPr>
        <w:pStyle w:val="831"/>
        <w:ind w:left="567" w:firstLine="1"/>
      </w:pPr>
      <w:r>
        <w:t xml:space="preserve">– </w:t>
      </w:r>
      <w:r>
        <w:t xml:space="preserve">действия срока бесплатной технической поддержки или оплаты его продления;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использования ПО Тиллиум.Касса, с лицензионной продукцией;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соблюдения всех условий применения ПО и лицензионного договора.</w:t>
      </w:r>
      <w:bookmarkStart w:id="29" w:name="page12"/>
      <w:r/>
      <w:r/>
    </w:p>
    <w:p>
      <w:pPr>
        <w:pStyle w:val="761"/>
        <w:jc w:val="both"/>
      </w:pPr>
      <w:r/>
      <w:bookmarkStart w:id="30" w:name="_Toc204262209"/>
      <w:r/>
      <w:bookmarkEnd w:id="29"/>
      <w:r>
        <w:t xml:space="preserve">3.</w:t>
      </w:r>
      <w:r>
        <w:rPr>
          <w:rFonts w:ascii="Calibri" w:hAnsi="Calibri" w:asciiTheme="minorHAnsi" w:hAnsiTheme="minorHAnsi"/>
        </w:rPr>
        <w:tab/>
      </w:r>
      <w:r>
        <w:t xml:space="preserve">Устранение неисправностей программного обеспечения</w:t>
      </w:r>
      <w:bookmarkEnd w:id="30"/>
      <w:r/>
      <w:r/>
    </w:p>
    <w:p>
      <w:pPr>
        <w:pStyle w:val="831"/>
      </w:pPr>
      <w:r>
        <w:t xml:space="preserve">Перечень этапов процесса устранения неисправностей программного обеспечения (ПО) приведено в п. 1.3.8 «Процесс решения проблем в программных средствах». Общий порядок технической поддержки ПО приведен в п. 2.</w:t>
      </w:r>
      <w:r/>
    </w:p>
    <w:p>
      <w:pPr>
        <w:pStyle w:val="831"/>
      </w:pPr>
      <w:r>
        <w:t xml:space="preserve">Штатный порядок работы ПО определяется эксплуатационной документаций, предоставляемой производителем ПО. Поддерживаемый ПО набор функций определяется требованиями технического задания (ТЗ).</w:t>
      </w:r>
      <w:r/>
    </w:p>
    <w:p>
      <w:pPr>
        <w:pStyle w:val="831"/>
      </w:pPr>
      <w:r>
        <w:t xml:space="preserve">В случае обнаружения ошибок в работе ПО, которые являются нарушением требований ТЗ или противоречат порядку работы ПО, описанному в документации, администратор ПО должен направить заявку в службу технической поддержки (СТП) производителя ПО. СТ</w:t>
      </w:r>
      <w:r>
        <w:t xml:space="preserve">П производителя ПО, проверяет, при необходимости уточняет полученную заявку и пытается выполнить ее, использую собственные ресурсы и знания. СТП производителя ПО, проверяет наличие ошибки и рекомендаций по ее устранению в базе знаний технической поддержки.</w:t>
      </w:r>
      <w:r/>
    </w:p>
    <w:p>
      <w:pPr>
        <w:pStyle w:val="831"/>
      </w:pPr>
      <w:r>
        <w:t xml:space="preserve">В случае, если в базе знаний об</w:t>
      </w:r>
      <w:r>
        <w:t xml:space="preserve">наружить описание ошибки не удается, СТП производителя ПО пытается воспроизвести обнаруженную пользователем ошибку в тестовой среде. После подтверждения найденной ошибки СТП производителя передает разработчикам ПО задание на устранение обнаруженной ошибки.</w:t>
      </w:r>
      <w:r/>
    </w:p>
    <w:p>
      <w:pPr>
        <w:pStyle w:val="831"/>
      </w:pPr>
      <w:r>
        <w:t xml:space="preserve">После устранения неисправности разработчики ПО выпускают обновление к текущей</w:t>
      </w:r>
      <w:r>
        <w:t xml:space="preserve"> версии ПО или включают исправление в следующую версию ПО. Информация о наличии обновления или новой версии ПО доводится до пользователей ПО. В случае наличия у пользователя контракта или договора на поддержку ПО, он имеет право на получение обновления ПО.</w:t>
      </w:r>
      <w:bookmarkStart w:id="31" w:name="page13"/>
      <w:r/>
      <w:bookmarkEnd w:id="31"/>
      <w:r/>
      <w:r/>
    </w:p>
    <w:p>
      <w:pPr>
        <w:pStyle w:val="761"/>
        <w:jc w:val="both"/>
      </w:pPr>
      <w:r/>
      <w:r>
        <w:br w:type="page" w:clear="all"/>
      </w:r>
      <w:r/>
    </w:p>
    <w:p>
      <w:pPr>
        <w:pStyle w:val="761"/>
        <w:jc w:val="both"/>
      </w:pPr>
      <w:r/>
      <w:bookmarkStart w:id="32" w:name="_Toc204262210"/>
      <w:r>
        <w:t xml:space="preserve">4.</w:t>
      </w:r>
      <w:r>
        <w:rPr>
          <w:rFonts w:ascii="Calibri" w:hAnsi="Calibri" w:asciiTheme="minorHAnsi" w:hAnsiTheme="minorHAnsi"/>
        </w:rPr>
        <w:tab/>
      </w:r>
      <w:r>
        <w:t xml:space="preserve">Совершенствование программного обеспечения</w:t>
      </w:r>
      <w:bookmarkEnd w:id="32"/>
      <w:r/>
      <w:r/>
    </w:p>
    <w:p>
      <w:pPr>
        <w:pStyle w:val="831"/>
      </w:pPr>
      <w:r>
        <w:t xml:space="preserve">Работа по совершенствованию ПО включает в себя два основных направления:</w:t>
      </w:r>
      <w:r/>
    </w:p>
    <w:p>
      <w:pPr>
        <w:pStyle w:val="831"/>
        <w:ind w:left="567" w:firstLine="1"/>
      </w:pPr>
      <w:r>
        <w:t xml:space="preserve">– </w:t>
      </w:r>
      <w:r>
        <w:t xml:space="preserve">повышение качества и надежности ПО;</w:t>
      </w:r>
      <w:r/>
    </w:p>
    <w:p>
      <w:pPr>
        <w:pStyle w:val="831"/>
        <w:ind w:left="567" w:firstLine="1"/>
      </w:pPr>
      <w:r>
        <w:t xml:space="preserve">– </w:t>
      </w:r>
      <w:r>
        <w:t xml:space="preserve">актуализация перечня функций, поддерживаемых ПО.</w:t>
      </w:r>
      <w:r/>
    </w:p>
    <w:p>
      <w:pPr>
        <w:pStyle w:val="831"/>
      </w:pPr>
      <w:r>
        <w:t xml:space="preserve">В ходе постоянно проводимой работы по совершенствованию ПО используются хорошо зарекомендовавшие себя методы повышения качества и надежности ПО: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совершенствование процесса разработки ПО – повышение качества ПО за счет использования современных методик и инструментов разработки;</w:t>
      </w:r>
      <w:r/>
    </w:p>
    <w:p>
      <w:pPr>
        <w:pStyle w:val="831"/>
        <w:ind w:left="567" w:firstLine="1"/>
      </w:pPr>
      <w:r>
        <w:t xml:space="preserve">– </w:t>
      </w:r>
      <w:r>
        <w:t xml:space="preserve">совершенствование процесса тестирования ПО – обеспечение необходимой полноты покрытия.</w:t>
      </w:r>
      <w:r/>
    </w:p>
    <w:p>
      <w:pPr>
        <w:pStyle w:val="831"/>
      </w:pPr>
      <w:r>
        <w:t xml:space="preserve">Актуализация перечня функций, поддерживаемых ПО, включает в себя:</w:t>
      </w:r>
      <w:r/>
    </w:p>
    <w:p>
      <w:pPr>
        <w:pStyle w:val="831"/>
        <w:ind w:left="567" w:firstLine="1"/>
      </w:pPr>
      <w:r>
        <w:t xml:space="preserve">– </w:t>
      </w:r>
      <w:r>
        <w:t xml:space="preserve">добавление новых и изменение существующих функций в соответствии со стратегией развития ПО;</w:t>
      </w:r>
      <w:r/>
    </w:p>
    <w:p>
      <w:pPr>
        <w:pStyle w:val="831"/>
        <w:ind w:left="567" w:firstLine="1"/>
      </w:pPr>
      <w:r>
        <w:t xml:space="preserve">– </w:t>
      </w:r>
      <w:r>
        <w:t xml:space="preserve">добавление новых и изменение существующих функций по предложениям пользователей ПО;</w:t>
      </w:r>
      <w:r/>
    </w:p>
    <w:p>
      <w:pPr>
        <w:pStyle w:val="831"/>
        <w:ind w:left="567" w:firstLine="1"/>
      </w:pPr>
      <w:r>
        <w:t xml:space="preserve">– </w:t>
      </w:r>
      <w:r>
        <w:t xml:space="preserve">исключение устаревших функций.</w:t>
      </w:r>
      <w:r/>
    </w:p>
    <w:p>
      <w:pPr>
        <w:pStyle w:val="831"/>
      </w:pPr>
      <w:r>
        <w:t xml:space="preserve">Пользователь может самостоятельно повлиять </w:t>
      </w:r>
      <w:r>
        <w:t xml:space="preserve">на совершенствование продукта, для этого необходимо направить предложение по усовершенствованию на электронную почту технической поддержки. Предложение будет рассмотрено и, в случае признания его эффективности, в ПО будут внесены соответствующие изменения.</w:t>
      </w:r>
      <w:bookmarkStart w:id="33" w:name="page14"/>
      <w:r/>
      <w:bookmarkEnd w:id="33"/>
      <w:r/>
      <w:r/>
    </w:p>
    <w:p>
      <w:pPr>
        <w:pStyle w:val="761"/>
        <w:jc w:val="both"/>
      </w:pPr>
      <w:r/>
      <w:r>
        <w:br w:type="page" w:clear="all"/>
      </w:r>
      <w:r/>
    </w:p>
    <w:p>
      <w:pPr>
        <w:pStyle w:val="761"/>
        <w:jc w:val="both"/>
      </w:pPr>
      <w:r/>
      <w:bookmarkStart w:id="34" w:name="_Toc204262211"/>
      <w:r>
        <w:t xml:space="preserve">5.</w:t>
      </w:r>
      <w:r>
        <w:rPr>
          <w:rFonts w:ascii="Calibri" w:hAnsi="Calibri" w:asciiTheme="minorHAnsi" w:hAnsiTheme="minorHAnsi"/>
        </w:rPr>
        <w:tab/>
      </w:r>
      <w:r>
        <w:t xml:space="preserve">Требования к персоналу</w:t>
      </w:r>
      <w:bookmarkEnd w:id="34"/>
      <w:r/>
      <w:r/>
    </w:p>
    <w:p>
      <w:pPr>
        <w:pStyle w:val="831"/>
      </w:pPr>
      <w:r>
        <w:t xml:space="preserve">К эксплуатации ПО Тиллиум.Касса, допускаются лица, ознакомив</w:t>
      </w:r>
      <w:r>
        <w:t xml:space="preserve">шиеся с эксплуатационной документацией на ПО Тиллиум.Касса, эксплуатационной документацией на аппаратное обеспечение, которое используется совместно с ПО Тиллиум.Касса, и имеющие практические навыки работы с указанным программным и аппаратным обеспечением.</w:t>
      </w:r>
      <w:r/>
    </w:p>
    <w:p>
      <w:pPr>
        <w:pStyle w:val="831"/>
      </w:pPr>
      <w:r>
        <w:t xml:space="preserve">Для эксплуатации ПО Тиллиум.Касса, может </w:t>
      </w:r>
      <w:r>
        <w:t xml:space="preserve">привлекаться штатный персонал пользователя либо организаций-подрядчиков, предоставляющих услуги по обслуживанию ПО на договорной основе. Рекомендуется, чтобы было обеспечено периодическое обучение персонала на учебных курсах, авторизованных производителем.</w:t>
      </w:r>
      <w:r/>
    </w:p>
    <w:p>
      <w:pPr>
        <w:pStyle w:val="831"/>
      </w:pPr>
      <w:r>
        <w:t xml:space="preserve">Администратор ПО Тиллиум.Касса, должен иметь навыки:</w:t>
      </w:r>
      <w:r/>
    </w:p>
    <w:p>
      <w:pPr>
        <w:pStyle w:val="831"/>
        <w:ind w:left="567" w:firstLine="1"/>
      </w:pPr>
      <w:r>
        <w:t xml:space="preserve">– </w:t>
      </w:r>
      <w:r>
        <w:t xml:space="preserve">Администрирования ОС семейства Linux;</w:t>
      </w:r>
      <w:r/>
    </w:p>
    <w:p>
      <w:pPr>
        <w:pStyle w:val="831"/>
        <w:ind w:left="567" w:firstLine="1"/>
      </w:pPr>
      <w:r>
        <w:t xml:space="preserve">– </w:t>
      </w:r>
      <w:r>
        <w:t xml:space="preserve">Администрирования СУБД PostgreSQL;</w:t>
      </w:r>
      <w:r/>
    </w:p>
    <w:p>
      <w:pPr>
        <w:pStyle w:val="831"/>
        <w:ind w:left="567" w:firstLine="1"/>
      </w:pPr>
      <w:r>
        <w:t xml:space="preserve">– </w:t>
      </w:r>
      <w:r>
        <w:t xml:space="preserve">Администрирования Фискальных принтеров;</w:t>
      </w:r>
      <w:bookmarkStart w:id="35" w:name="page15"/>
      <w:r/>
      <w:bookmarkEnd w:id="35"/>
      <w:r/>
      <w:r/>
    </w:p>
    <w:p>
      <w:pPr>
        <w:pStyle w:val="831"/>
        <w:ind w:left="284" w:firstLine="284"/>
      </w:pPr>
      <w:r/>
      <w:r>
        <w:br w:type="page" w:clear="all"/>
      </w:r>
      <w:r/>
    </w:p>
    <w:p>
      <w:pPr>
        <w:pStyle w:val="761"/>
        <w:jc w:val="both"/>
      </w:pPr>
      <w:r/>
      <w:bookmarkStart w:id="36" w:name="_Toc204262212"/>
      <w:r>
        <w:t xml:space="preserve">6.</w:t>
      </w:r>
      <w:r>
        <w:rPr>
          <w:rFonts w:ascii="Calibri" w:hAnsi="Calibri" w:asciiTheme="minorHAnsi" w:hAnsiTheme="minorHAnsi"/>
        </w:rPr>
        <w:tab/>
      </w:r>
      <w:r>
        <w:t xml:space="preserve">Контактные данные производителя ПО</w:t>
      </w:r>
      <w:bookmarkEnd w:id="36"/>
      <w:r/>
      <w:r/>
    </w:p>
    <w:p>
      <w:pPr>
        <w:pStyle w:val="760"/>
      </w:pPr>
      <w:r>
        <w:rPr>
          <w:rFonts w:ascii="ALS Hauss" w:hAnsi="ALS Hauss"/>
          <w:sz w:val="24"/>
          <w:szCs w:val="24"/>
        </w:rPr>
        <w:t xml:space="preserve">125167, Москва</w:t>
      </w:r>
      <w:r/>
    </w:p>
    <w:p>
      <w:pPr>
        <w:pStyle w:val="760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Ленинградский пр-т, д. 36, стр. 41</w:t>
      </w:r>
      <w:r>
        <w:rPr>
          <w:rFonts w:ascii="ALS Hauss" w:hAnsi="ALS Hauss"/>
          <w:sz w:val="24"/>
          <w:szCs w:val="24"/>
        </w:rPr>
      </w:r>
    </w:p>
    <w:p>
      <w:pPr>
        <w:pStyle w:val="760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Телефон: +7 495 790-79-79,+7 495 648-08-08</w:t>
      </w:r>
      <w:r>
        <w:rPr>
          <w:rFonts w:ascii="ALS Hauss" w:hAnsi="ALS Hauss"/>
          <w:sz w:val="24"/>
          <w:szCs w:val="24"/>
        </w:rPr>
      </w:r>
    </w:p>
    <w:p>
      <w:pPr>
        <w:pStyle w:val="760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Факс: (495) 648-08-07</w:t>
      </w:r>
      <w:r>
        <w:rPr>
          <w:rFonts w:ascii="ALS Hauss" w:hAnsi="ALS Hauss"/>
          <w:sz w:val="24"/>
          <w:szCs w:val="24"/>
        </w:rPr>
      </w:r>
    </w:p>
    <w:p>
      <w:pPr>
        <w:pStyle w:val="760"/>
      </w:pPr>
      <w:r>
        <w:rPr>
          <w:rFonts w:ascii="ALS Hauss" w:hAnsi="ALS Hauss" w:eastAsia="Arial" w:cs="Arial"/>
          <w:color w:val="0a0a0a"/>
          <w:sz w:val="24"/>
          <w:szCs w:val="24"/>
        </w:rPr>
        <w:t xml:space="preserve">Адрес электронной почты: </w:t>
      </w:r>
      <w:hyperlink r:id="rId15" w:tooltip="mailto:info@t1-integration.ru" w:history="1">
        <w:r>
          <w:rPr>
            <w:rFonts w:ascii="ALS Hauss" w:hAnsi="ALS Hauss" w:eastAsia="Arial" w:cs="Arial"/>
            <w:color w:val="00aae6"/>
            <w:sz w:val="24"/>
            <w:szCs w:val="24"/>
            <w:u w:val="none"/>
          </w:rPr>
          <w:t xml:space="preserve">info@t1-integration.ru</w:t>
        </w:r>
      </w:hyperlink>
      <w:r>
        <w:fldChar w:fldCharType="begin"/>
      </w:r>
      <w:r>
        <w:rPr>
          <w:rFonts w:ascii="ALS Hauss" w:hAnsi="ALS Hauss" w:eastAsia="Arial" w:cs="Arial"/>
          <w:color w:val="00aae6"/>
          <w:sz w:val="24"/>
          <w:szCs w:val="24"/>
          <w:u w:val="none"/>
        </w:rPr>
        <w:instrText xml:space="preserve"> HYPERLINK "https://t1-integration.ru/contacts/" \l "soglasie" \n https://t1-integration.ru/contacts/#soglasie</w:instrText>
      </w:r>
      <w:r>
        <w:rPr>
          <w:rFonts w:ascii="ALS Hauss" w:hAnsi="ALS Hauss" w:eastAsia="Arial" w:cs="Arial"/>
          <w:color w:val="00aae6"/>
          <w:sz w:val="24"/>
          <w:szCs w:val="24"/>
          <w:u w:val="none"/>
        </w:rPr>
        <w:fldChar w:fldCharType="separate"/>
      </w:r>
      <w:r>
        <w:rPr>
          <w:rFonts w:ascii="ALS Hauss" w:hAnsi="ALS Hauss" w:eastAsia="Arial" w:cs="Arial"/>
          <w:color w:val="00aae6"/>
          <w:sz w:val="24"/>
          <w:szCs w:val="24"/>
          <w:u w:val="none"/>
        </w:rPr>
        <w:t xml:space="preserve">*</w:t>
      </w:r>
      <w:r>
        <w:rPr>
          <w:rFonts w:ascii="ALS Hauss" w:hAnsi="ALS Hauss" w:eastAsia="Arial" w:cs="Arial"/>
          <w:color w:val="00aae6"/>
          <w:sz w:val="24"/>
          <w:szCs w:val="24"/>
          <w:u w:val="none"/>
        </w:rPr>
        <w:fldChar w:fldCharType="end"/>
      </w:r>
      <w:r/>
    </w:p>
    <w:p>
      <w:pPr>
        <w:pStyle w:val="760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</w:r>
      <w:r>
        <w:rPr>
          <w:rFonts w:ascii="ALS Hauss" w:hAnsi="ALS Hauss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20" w:h="16838" w:orient="portrait"/>
      <w:pgMar w:top="1387" w:right="863" w:bottom="700" w:left="1440" w:header="567" w:footer="51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CJK SC">
    <w:panose1 w:val="020B0603030804020204"/>
  </w:font>
  <w:font w:name="Liberation Sans">
    <w:panose1 w:val="020B0604020202020204"/>
  </w:font>
  <w:font w:name="Noto Sans">
    <w:panose1 w:val="020B0502040504020204"/>
  </w:font>
  <w:font w:name="ALS Hauss">
    <w:panose1 w:val="020B0603030804020204"/>
  </w:font>
  <w:font w:name="Arial">
    <w:panose1 w:val="020B0604020202020204"/>
  </w:font>
  <w:font w:name="DejaVu Sans">
    <w:panose1 w:val="020B0603030804020204"/>
  </w:font>
  <w:font w:name="Mangal">
    <w:panose1 w:val="020405030504060302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tabs>
        <w:tab w:val="clear" w:pos="720" w:leader="none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20955" distL="0" distR="20955" simplePos="0" relativeHeight="45" behindDoc="1" locked="0" layoutInCell="0" allowOverlap="1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4" name="Прямоугольник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45;o:allowoverlap:true;o:allowincell:false;mso-position-horizontal-relative:page;margin-left:504.55pt;mso-position-horizontal:absolute;mso-position-vertical-relative:page;margin-top:800.75pt;mso-position-vertical:absolute;width:2.85pt;height:28.35pt;mso-wrap-distance-left:0.00pt;mso-wrap-distance-top:0.00pt;mso-wrap-distance-right:1.65pt;mso-wrap-distance-bottom:1.65pt;visibility:visible;" fillcolor="#0070C0" strokecolor="#0070C0" strokeweight="1.00pt"/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  <w:r>
      <w:rPr>
        <w:rFonts w:cs="Noto Sans"/>
        <w:color w:val="0070c0"/>
        <w:sz w:val="12"/>
        <w:szCs w:val="12"/>
      </w:rPr>
    </w:r>
  </w:p>
  <w:p>
    <w:pPr>
      <w:pStyle w:val="830"/>
      <w:ind w:firstLine="0"/>
      <w:rPr>
        <w:rFonts w:cs="Noto Sans"/>
        <w:color w:val="0070c0"/>
        <w:sz w:val="20"/>
      </w:rPr>
    </w:pPr>
    <w:r>
      <w:fldChar w:fldCharType="begin"/>
    </w:r>
    <w:r>
      <w:instrText xml:space="preserve"> PAGE </w:instrText>
    </w:r>
    <w:r>
      <w:fldChar w:fldCharType="separate"/>
    </w:r>
    <w:r>
      <w:t xml:space="preserve">15</w:t>
    </w:r>
    <w:r>
      <w:fldChar w:fldCharType="end"/>
    </w:r>
    <w:r>
      <w:rPr>
        <w:rFonts w:cs="Noto Sans"/>
        <w:color w:val="0070c0"/>
        <w:sz w:val="20"/>
      </w:rPr>
    </w:r>
  </w:p>
  <w:p>
    <w:pPr>
      <w:pStyle w:val="760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  <w:r>
      <w:rPr>
        <w:rFonts w:cs="Noto Sans"/>
        <w:color w:val="0070c0"/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  <w:r>
      <w:rPr>
        <w:rFonts w:eastAsia="Calibri" w:cs="Noto Sans" w:eastAsiaTheme="minorHAnsi"/>
        <w:color w:val="0070c0"/>
        <w:sz w:val="12"/>
        <w:szCs w:val="12"/>
      </w:rPr>
    </w:r>
  </w:p>
  <w:p>
    <w:pPr>
      <w:pStyle w:val="760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Любое его использование может быть осуществлено только с письменного разрешения ООО «Т1 Интеграция».</w:t>
    </w:r>
    <w:r>
      <w:rPr>
        <w:rFonts w:eastAsia="Calibri" w:cs="Noto Sans" w:eastAsiaTheme="minorHAnsi"/>
        <w:color w:val="0070c0"/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cs="Noto Sans"/>
        <w:b/>
        <w:i/>
        <w:color w:val="0070c0"/>
        <w:sz w:val="16"/>
        <w:szCs w:val="16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column">
                <wp:posOffset>38100</wp:posOffset>
              </wp:positionH>
              <wp:positionV relativeFrom="paragraph">
                <wp:posOffset>11430</wp:posOffset>
              </wp:positionV>
              <wp:extent cx="1699260" cy="291465"/>
              <wp:effectExtent l="0" t="0" r="0" b="0"/>
              <wp:wrapNone/>
              <wp:docPr id="1" name="Рисунок 4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49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99260" cy="291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15;o:allowoverlap:true;o:allowincell:false;mso-position-horizontal-relative:text;margin-left:3.00pt;mso-position-horizontal:absolute;mso-position-vertical-relative:text;margin-top:0.90pt;mso-position-vertical:absolute;width:133.80pt;height:22.9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9" behindDoc="1" locked="0" layoutInCell="0" allowOverlap="1">
              <wp:simplePos x="0" y="0"/>
              <wp:positionH relativeFrom="column">
                <wp:posOffset>4140835</wp:posOffset>
              </wp:positionH>
              <wp:positionV relativeFrom="page">
                <wp:posOffset>360045</wp:posOffset>
              </wp:positionV>
              <wp:extent cx="1789430" cy="323850"/>
              <wp:effectExtent l="0" t="0" r="0" b="0"/>
              <wp:wrapNone/>
              <wp:docPr id="2" name="Рисунок 48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48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78943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9;o:allowoverlap:true;o:allowincell:false;mso-position-horizontal-relative:text;margin-left:326.05pt;mso-position-horizontal:absolute;mso-position-vertical-relative:page;margin-top:28.35pt;mso-position-vertical:absolute;width:140.90pt;height:25.50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rFonts w:cs="Noto Sans"/>
        <w:b/>
        <w:color w:val="0070c0"/>
        <w:sz w:val="16"/>
        <w:szCs w:val="16"/>
      </w:rPr>
      <w:t xml:space="preserve">Интеграция: Документы</w:t>
    </w:r>
    <w:r>
      <w:rPr>
        <w:rFonts w:cs="Noto Sans"/>
        <w:b/>
        <w:i/>
        <w:color w:val="0070c0"/>
        <w:sz w:val="16"/>
        <w:szCs w:val="16"/>
      </w:rPr>
    </w:r>
  </w:p>
  <w:p>
    <w:pPr>
      <w:pStyle w:val="829"/>
      <w:jc w:val="center"/>
      <w:spacing w:before="120" w:after="120" w:line="360" w:lineRule="auto"/>
      <w:rPr>
        <w:rFonts w:cs="Noto Sans"/>
        <w:b/>
        <w:i/>
        <w:color w:val="0070c0"/>
        <w:sz w:val="16"/>
        <w:szCs w:val="16"/>
      </w:rPr>
      <w:pBdr>
        <w:bottom w:val="single" w:color="0070C0" w:sz="24" w:space="1"/>
      </w:pBdr>
    </w:pPr>
    <w:r>
      <w:rPr>
        <w:rFonts w:cs="Noto Sans"/>
        <w:b/>
        <w:color w:val="0070c0"/>
        <w:sz w:val="16"/>
        <w:szCs w:val="16"/>
      </w:rPr>
      <w:t xml:space="preserve">Руководство пользователя</w:t>
    </w:r>
    <w:r>
      <w:rPr>
        <w:rFonts w:cs="Noto Sans"/>
        <w:b/>
        <w:i/>
        <w:color w:val="0070c0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498" w:type="dxa"/>
      <w:tblInd w:w="-34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3119"/>
      <w:gridCol w:w="4820"/>
      <w:gridCol w:w="1559"/>
    </w:tblGrid>
    <w:tr>
      <w:trPr>
        <w:trHeight w:val="563"/>
      </w:trPr>
      <w:tc>
        <w:tcPr>
          <w:shd w:val="clear" w:color="auto" w:fill="auto"/>
          <w:tcBorders>
            <w:bottom w:val="single" w:color="0070C0" w:sz="24" w:space="0"/>
          </w:tcBorders>
          <w:tcW w:w="3119" w:type="dxa"/>
          <w:textDirection w:val="lrTb"/>
          <w:noWrap w:val="false"/>
        </w:tcPr>
        <w:p>
          <w:pPr>
            <w:pStyle w:val="760"/>
            <w:ind w:firstLine="34"/>
            <w:widowControl w:val="off"/>
            <w:rPr>
              <w:color w:val="0070c0"/>
            </w:rPr>
          </w:pPr>
          <w:r>
            <w:rPr>
              <w:color w:val="0070c0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31" behindDoc="1" locked="0" layoutInCell="1" allowOverlap="1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26670</wp:posOffset>
                    </wp:positionV>
                    <wp:extent cx="1504950" cy="259080"/>
                    <wp:effectExtent l="0" t="0" r="0" b="0"/>
                    <wp:wrapSquare wrapText="bothSides"/>
                    <wp:docPr id="3" name="Рисунок 28" descr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Рисунок 28" descr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04950" cy="2590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z-index:-31;o:allowoverlap:true;o:allowincell:true;mso-position-horizontal-relative:text;margin-left:-0.85pt;mso-position-horizontal:absolute;mso-position-vertical-relative:text;margin-top:2.10pt;mso-position-vertical:absolute;width:118.50pt;height:20.40pt;mso-wrap-distance-left:9.00pt;mso-wrap-distance-top:0.00pt;mso-wrap-distance-right:9.00pt;mso-wrap-distance-bottom:0.00pt;" stroked="false">
                    <v:path textboxrect="0,0,0,0"/>
                    <w10:wrap type="square"/>
                    <v:imagedata r:id="rId1" o:title=""/>
                  </v:shape>
                </w:pict>
              </mc:Fallback>
            </mc:AlternateContent>
          </w:r>
          <w:r>
            <w:rPr>
              <w:color w:val="0070c0"/>
            </w:rPr>
          </w:r>
        </w:p>
      </w:tc>
      <w:tc>
        <w:tcPr>
          <w:shd w:val="clear" w:color="auto" w:fill="auto"/>
          <w:tcBorders>
            <w:bottom w:val="single" w:color="0070C0" w:sz="24" w:space="0"/>
          </w:tcBorders>
          <w:tcW w:w="4820" w:type="dxa"/>
          <w:textDirection w:val="lrTb"/>
          <w:noWrap w:val="false"/>
        </w:tcPr>
        <w:p>
          <w:pPr>
            <w:pStyle w:val="760"/>
            <w:ind w:firstLine="0"/>
            <w:widowControl w:val="off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 xml:space="preserve">Ленинградский пр-т, д. 36, стр. 41</w:t>
          </w:r>
          <w:r>
            <w:rPr>
              <w:color w:val="0070c0"/>
            </w:rPr>
          </w:r>
        </w:p>
      </w:tc>
      <w:tc>
        <w:tcPr>
          <w:shd w:val="clear" w:color="auto" w:fill="auto"/>
          <w:tcBorders>
            <w:bottom w:val="single" w:color="0070C0" w:sz="24" w:space="0"/>
          </w:tcBorders>
          <w:tcW w:w="1559" w:type="dxa"/>
          <w:textDirection w:val="lrTb"/>
          <w:noWrap w:val="false"/>
        </w:tcPr>
        <w:p>
          <w:pPr>
            <w:pStyle w:val="760"/>
            <w:widowControl w:val="off"/>
            <w:rPr>
              <w:color w:val="0070c0"/>
            </w:rPr>
          </w:pPr>
          <w:r>
            <w:rPr>
              <w:color w:val="0070c0"/>
            </w:rPr>
          </w:r>
          <w:r>
            <w:rPr>
              <w:color w:val="0070c0"/>
            </w:rPr>
          </w:r>
        </w:p>
      </w:tc>
    </w:tr>
  </w:tbl>
  <w:p>
    <w:pPr>
      <w:pStyle w:val="829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762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763"/>
      <w:isLgl w:val="false"/>
      <w:suff w:val="nothing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7">
    <w:name w:val="footnote reference"/>
    <w:basedOn w:val="792"/>
    <w:uiPriority w:val="99"/>
    <w:unhideWhenUsed/>
    <w:rPr>
      <w:vertAlign w:val="superscript"/>
    </w:rPr>
  </w:style>
  <w:style w:type="character" w:styleId="180">
    <w:name w:val="endnote reference"/>
    <w:basedOn w:val="792"/>
    <w:uiPriority w:val="99"/>
    <w:semiHidden/>
    <w:unhideWhenUsed/>
    <w:rPr>
      <w:vertAlign w:val="superscript"/>
    </w:rPr>
  </w:style>
  <w:style w:type="paragraph" w:styleId="760" w:default="1">
    <w:name w:val="Normal"/>
    <w:qFormat/>
    <w:pPr>
      <w:ind w:firstLine="284"/>
      <w:jc w:val="left"/>
      <w:spacing w:before="0" w:after="0"/>
      <w:widowControl/>
    </w:pPr>
    <w:rPr>
      <w:rFonts w:ascii="ALS Hauss" w:hAnsi="ALS Hauss" w:eastAsia="DejaVu Sans" w:cs="Lohit Devanagari"/>
      <w:color w:val="auto"/>
      <w:sz w:val="24"/>
      <w:szCs w:val="22"/>
      <w:lang w:val="ru-RU" w:eastAsia="zh-CN" w:bidi="hi-IN"/>
    </w:rPr>
  </w:style>
  <w:style w:type="paragraph" w:styleId="761">
    <w:name w:val="Heading 1"/>
    <w:basedOn w:val="760"/>
    <w:uiPriority w:val="9"/>
    <w:qFormat/>
    <w:pPr>
      <w:ind w:left="284" w:firstLine="0"/>
      <w:spacing w:before="240" w:after="120"/>
      <w:tabs>
        <w:tab w:val="left" w:pos="709" w:leader="none"/>
        <w:tab w:val="clear" w:pos="720" w:leader="none"/>
        <w:tab w:val="left" w:pos="9356" w:leader="none"/>
      </w:tabs>
      <w:outlineLvl w:val="0"/>
    </w:pPr>
    <w:rPr>
      <w:b/>
      <w:bCs/>
      <w:sz w:val="28"/>
      <w:szCs w:val="28"/>
    </w:rPr>
  </w:style>
  <w:style w:type="paragraph" w:styleId="762">
    <w:name w:val="Heading 2"/>
    <w:basedOn w:val="760"/>
    <w:uiPriority w:val="9"/>
    <w:unhideWhenUsed/>
    <w:qFormat/>
    <w:pPr>
      <w:numPr>
        <w:ilvl w:val="1"/>
        <w:numId w:val="1"/>
      </w:numPr>
      <w:ind w:left="284" w:firstLine="284"/>
      <w:spacing w:before="240" w:after="120"/>
      <w:tabs>
        <w:tab w:val="left" w:pos="284" w:leader="none"/>
        <w:tab w:val="left" w:pos="567" w:leader="none"/>
        <w:tab w:val="clear" w:pos="720" w:leader="none"/>
        <w:tab w:val="left" w:pos="851" w:leader="none"/>
        <w:tab w:val="left" w:pos="1134" w:leader="none"/>
        <w:tab w:val="left" w:pos="9356" w:leader="none"/>
      </w:tabs>
      <w:outlineLvl w:val="1"/>
    </w:pPr>
    <w:rPr>
      <w:rFonts w:eastAsia="Times New Roman" w:cs="Times New Roman"/>
      <w:b/>
      <w:bCs/>
      <w:szCs w:val="24"/>
    </w:rPr>
  </w:style>
  <w:style w:type="paragraph" w:styleId="763">
    <w:name w:val="Heading 3"/>
    <w:basedOn w:val="760"/>
    <w:uiPriority w:val="9"/>
    <w:unhideWhenUsed/>
    <w:qFormat/>
    <w:pPr>
      <w:numPr>
        <w:ilvl w:val="2"/>
        <w:numId w:val="1"/>
      </w:numPr>
      <w:ind w:firstLine="851"/>
      <w:spacing w:before="240" w:after="120"/>
      <w:tabs>
        <w:tab w:val="clear" w:pos="720" w:leader="none"/>
        <w:tab w:val="left" w:pos="1276" w:leader="none"/>
        <w:tab w:val="left" w:pos="1560" w:leader="none"/>
        <w:tab w:val="left" w:pos="9356" w:leader="none"/>
      </w:tabs>
      <w:outlineLvl w:val="2"/>
    </w:pPr>
    <w:rPr>
      <w:b/>
      <w:bCs/>
      <w:szCs w:val="28"/>
    </w:rPr>
  </w:style>
  <w:style w:type="paragraph" w:styleId="764">
    <w:name w:val="Heading 4"/>
    <w:basedOn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1 Char"/>
    <w:basedOn w:val="792"/>
    <w:uiPriority w:val="9"/>
    <w:qFormat/>
    <w:rPr>
      <w:rFonts w:ascii="Arial" w:hAnsi="Arial" w:eastAsia="Arial" w:cs="Arial"/>
      <w:sz w:val="40"/>
      <w:szCs w:val="40"/>
    </w:rPr>
  </w:style>
  <w:style w:type="character" w:styleId="771">
    <w:name w:val="Heading 2 Char"/>
    <w:basedOn w:val="792"/>
    <w:uiPriority w:val="9"/>
    <w:qFormat/>
    <w:rPr>
      <w:rFonts w:ascii="Arial" w:hAnsi="Arial" w:eastAsia="Arial" w:cs="Arial"/>
      <w:sz w:val="34"/>
    </w:rPr>
  </w:style>
  <w:style w:type="character" w:styleId="772">
    <w:name w:val="Heading 3 Char"/>
    <w:basedOn w:val="792"/>
    <w:uiPriority w:val="9"/>
    <w:qFormat/>
    <w:rPr>
      <w:rFonts w:ascii="Arial" w:hAnsi="Arial" w:eastAsia="Arial" w:cs="Arial"/>
      <w:sz w:val="30"/>
      <w:szCs w:val="30"/>
    </w:rPr>
  </w:style>
  <w:style w:type="character" w:styleId="773">
    <w:name w:val="Heading 4 Char"/>
    <w:basedOn w:val="79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79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5">
    <w:name w:val="Heading 6 Char"/>
    <w:basedOn w:val="7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6">
    <w:name w:val="Heading 7 Char"/>
    <w:basedOn w:val="7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7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8">
    <w:name w:val="Heading 9 Char"/>
    <w:basedOn w:val="7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9">
    <w:name w:val="Title Char"/>
    <w:basedOn w:val="792"/>
    <w:uiPriority w:val="10"/>
    <w:qFormat/>
    <w:rPr>
      <w:sz w:val="48"/>
      <w:szCs w:val="48"/>
    </w:rPr>
  </w:style>
  <w:style w:type="character" w:styleId="780">
    <w:name w:val="Subtitle Char"/>
    <w:basedOn w:val="792"/>
    <w:uiPriority w:val="11"/>
    <w:qFormat/>
    <w:rPr>
      <w:sz w:val="24"/>
      <w:szCs w:val="24"/>
    </w:rPr>
  </w:style>
  <w:style w:type="character" w:styleId="781">
    <w:name w:val="Quote Char"/>
    <w:uiPriority w:val="29"/>
    <w:qFormat/>
    <w:rPr>
      <w:i/>
    </w:rPr>
  </w:style>
  <w:style w:type="character" w:styleId="782">
    <w:name w:val="Intense Quote Char"/>
    <w:uiPriority w:val="30"/>
    <w:qFormat/>
    <w:rPr>
      <w:i/>
    </w:rPr>
  </w:style>
  <w:style w:type="character" w:styleId="783">
    <w:name w:val="Header Char"/>
    <w:basedOn w:val="792"/>
    <w:uiPriority w:val="99"/>
    <w:qFormat/>
  </w:style>
  <w:style w:type="character" w:styleId="784">
    <w:name w:val="Footer Char"/>
    <w:basedOn w:val="792"/>
    <w:uiPriority w:val="99"/>
    <w:qFormat/>
  </w:style>
  <w:style w:type="character" w:styleId="785">
    <w:name w:val="Caption Char"/>
    <w:uiPriority w:val="99"/>
    <w:qFormat/>
  </w:style>
  <w:style w:type="character" w:styleId="786">
    <w:name w:val="Footnote Text Char"/>
    <w:uiPriority w:val="99"/>
    <w:qFormat/>
    <w:rPr>
      <w:sz w:val="18"/>
    </w:rPr>
  </w:style>
  <w:style w:type="character" w:styleId="787">
    <w:name w:val="Символ сноски"/>
    <w:uiPriority w:val="99"/>
    <w:unhideWhenUsed/>
    <w:qFormat/>
    <w:rPr>
      <w:vertAlign w:val="superscript"/>
    </w:rPr>
  </w:style>
  <w:style w:type="character" w:styleId="788">
    <w:name w:val="Привязка сноски"/>
    <w:rPr>
      <w:vertAlign w:val="superscript"/>
    </w:rPr>
  </w:style>
  <w:style w:type="character" w:styleId="789">
    <w:name w:val="Endnote Text Char"/>
    <w:uiPriority w:val="99"/>
    <w:qFormat/>
    <w:rPr>
      <w:sz w:val="20"/>
    </w:rPr>
  </w:style>
  <w:style w:type="character" w:styleId="7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1">
    <w:name w:val="Привязка концевой сноски"/>
    <w:rPr>
      <w:vertAlign w:val="superscript"/>
    </w:rPr>
  </w:style>
  <w:style w:type="character" w:styleId="792" w:default="1">
    <w:name w:val="Default Paragraph Font"/>
    <w:uiPriority w:val="1"/>
    <w:semiHidden/>
    <w:unhideWhenUsed/>
    <w:qFormat/>
  </w:style>
  <w:style w:type="character" w:styleId="793">
    <w:name w:val="Интернет-ссылка"/>
    <w:basedOn w:val="792"/>
    <w:uiPriority w:val="99"/>
    <w:unhideWhenUsed/>
    <w:rPr>
      <w:color w:val="0563c1" w:themeColor="hyperlink"/>
      <w:u w:val="single"/>
    </w:rPr>
  </w:style>
  <w:style w:type="character" w:styleId="794" w:customStyle="1">
    <w:name w:val="Ссылка указателя"/>
    <w:qFormat/>
  </w:style>
  <w:style w:type="character" w:styleId="795" w:customStyle="1">
    <w:name w:val="Верхний колонтитул Знак"/>
    <w:basedOn w:val="792"/>
    <w:uiPriority w:val="99"/>
    <w:qFormat/>
    <w:rPr>
      <w:rFonts w:cs="Mangal"/>
      <w:szCs w:val="20"/>
    </w:rPr>
  </w:style>
  <w:style w:type="character" w:styleId="796" w:customStyle="1">
    <w:name w:val="Нижний колонтитул Знак"/>
    <w:basedOn w:val="792"/>
    <w:uiPriority w:val="99"/>
    <w:qFormat/>
    <w:rPr>
      <w:rFonts w:cs="Mangal"/>
      <w:szCs w:val="20"/>
    </w:rPr>
  </w:style>
  <w:style w:type="character" w:styleId="797">
    <w:name w:val="Выделение"/>
    <w:qFormat/>
    <w:rPr>
      <w:i/>
      <w:iCs/>
    </w:rPr>
  </w:style>
  <w:style w:type="character" w:styleId="798" w:customStyle="1">
    <w:name w:val="Заголовок Знак"/>
    <w:basedOn w:val="792"/>
    <w:uiPriority w:val="10"/>
    <w:qFormat/>
    <w:rPr>
      <w:b/>
      <w:bCs/>
      <w:sz w:val="56"/>
      <w:szCs w:val="56"/>
    </w:rPr>
  </w:style>
  <w:style w:type="character" w:styleId="799" w:customStyle="1">
    <w:name w:val="Текст1 Знак"/>
    <w:basedOn w:val="792"/>
    <w:qFormat/>
    <w:rPr>
      <w:rFonts w:ascii="ALS Hauss" w:hAnsi="ALS Hauss" w:eastAsia="Times New Roman" w:cs="Times New Roman"/>
      <w:sz w:val="24"/>
      <w:szCs w:val="24"/>
    </w:rPr>
  </w:style>
  <w:style w:type="paragraph" w:styleId="800">
    <w:name w:val="Заголовок"/>
    <w:basedOn w:val="760"/>
    <w:next w:val="801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801">
    <w:name w:val="Body Text"/>
    <w:basedOn w:val="760"/>
    <w:pPr>
      <w:spacing w:before="0" w:after="140" w:line="276" w:lineRule="auto"/>
    </w:pPr>
  </w:style>
  <w:style w:type="paragraph" w:styleId="802">
    <w:name w:val="List"/>
    <w:basedOn w:val="801"/>
  </w:style>
  <w:style w:type="paragraph" w:styleId="803">
    <w:name w:val="Caption"/>
    <w:basedOn w:val="760"/>
    <w:qFormat/>
    <w:pPr>
      <w:spacing w:before="120" w:after="120"/>
      <w:suppressLineNumbers/>
    </w:pPr>
    <w:rPr>
      <w:i/>
      <w:iCs/>
      <w:szCs w:val="24"/>
    </w:rPr>
  </w:style>
  <w:style w:type="paragraph" w:styleId="804">
    <w:name w:val="Указатель"/>
    <w:basedOn w:val="760"/>
    <w:qFormat/>
    <w:pPr>
      <w:suppressLineNumbers/>
    </w:pPr>
    <w:rPr>
      <w:rFonts w:cs="Lohit Devanagari"/>
    </w:rPr>
  </w:style>
  <w:style w:type="paragraph" w:styleId="805">
    <w:name w:val="List Paragraph"/>
    <w:basedOn w:val="760"/>
    <w:uiPriority w:val="34"/>
    <w:qFormat/>
    <w:pPr>
      <w:contextualSpacing/>
      <w:ind w:left="720" w:firstLine="0"/>
      <w:spacing w:before="0" w:after="0"/>
    </w:pPr>
  </w:style>
  <w:style w:type="paragraph" w:styleId="80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ejaVu Sans" w:cs="Lohit Devanagari"/>
      <w:color w:val="auto"/>
      <w:sz w:val="22"/>
      <w:szCs w:val="22"/>
      <w:lang w:val="ru-RU" w:eastAsia="zh-CN" w:bidi="hi-IN"/>
    </w:rPr>
  </w:style>
  <w:style w:type="paragraph" w:styleId="807">
    <w:name w:val="Subtitle"/>
    <w:basedOn w:val="760"/>
    <w:uiPriority w:val="11"/>
    <w:qFormat/>
    <w:pPr>
      <w:spacing w:before="200" w:after="200"/>
    </w:pPr>
    <w:rPr>
      <w:sz w:val="24"/>
      <w:szCs w:val="24"/>
    </w:rPr>
  </w:style>
  <w:style w:type="paragraph" w:styleId="808">
    <w:name w:val="Quote"/>
    <w:basedOn w:val="760"/>
    <w:uiPriority w:val="29"/>
    <w:qFormat/>
    <w:pPr>
      <w:ind w:left="720" w:right="720" w:firstLine="0"/>
    </w:pPr>
    <w:rPr>
      <w:i/>
    </w:rPr>
  </w:style>
  <w:style w:type="paragraph" w:styleId="809">
    <w:name w:val="Intense Quote"/>
    <w:basedOn w:val="76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0">
    <w:name w:val="footnote text"/>
    <w:basedOn w:val="76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1">
    <w:name w:val="endnote text"/>
    <w:basedOn w:val="76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2">
    <w:name w:val="toc 4"/>
    <w:basedOn w:val="760"/>
    <w:uiPriority w:val="39"/>
    <w:unhideWhenUsed/>
    <w:pPr>
      <w:ind w:left="850" w:right="0" w:firstLine="0"/>
      <w:spacing w:before="0" w:after="57"/>
    </w:pPr>
  </w:style>
  <w:style w:type="paragraph" w:styleId="813">
    <w:name w:val="toc 5"/>
    <w:basedOn w:val="760"/>
    <w:uiPriority w:val="39"/>
    <w:unhideWhenUsed/>
    <w:pPr>
      <w:ind w:left="1134" w:right="0" w:firstLine="0"/>
      <w:spacing w:before="0" w:after="57"/>
    </w:pPr>
  </w:style>
  <w:style w:type="paragraph" w:styleId="814">
    <w:name w:val="toc 6"/>
    <w:basedOn w:val="760"/>
    <w:uiPriority w:val="39"/>
    <w:unhideWhenUsed/>
    <w:pPr>
      <w:ind w:left="1417" w:right="0" w:firstLine="0"/>
      <w:spacing w:before="0" w:after="57"/>
    </w:pPr>
  </w:style>
  <w:style w:type="paragraph" w:styleId="815">
    <w:name w:val="toc 7"/>
    <w:basedOn w:val="760"/>
    <w:uiPriority w:val="39"/>
    <w:unhideWhenUsed/>
    <w:pPr>
      <w:ind w:left="1701" w:right="0" w:firstLine="0"/>
      <w:spacing w:before="0" w:after="57"/>
    </w:pPr>
  </w:style>
  <w:style w:type="paragraph" w:styleId="816">
    <w:name w:val="toc 8"/>
    <w:basedOn w:val="760"/>
    <w:uiPriority w:val="39"/>
    <w:unhideWhenUsed/>
    <w:pPr>
      <w:ind w:left="1984" w:right="0" w:firstLine="0"/>
      <w:spacing w:before="0" w:after="57"/>
    </w:pPr>
  </w:style>
  <w:style w:type="paragraph" w:styleId="817">
    <w:name w:val="toc 9"/>
    <w:basedOn w:val="760"/>
    <w:uiPriority w:val="39"/>
    <w:unhideWhenUsed/>
    <w:pPr>
      <w:ind w:left="2268" w:right="0" w:firstLine="0"/>
      <w:spacing w:before="0" w:after="57"/>
    </w:pPr>
  </w:style>
  <w:style w:type="paragraph" w:styleId="818">
    <w:name w:val="table of figures"/>
    <w:basedOn w:val="760"/>
    <w:uiPriority w:val="99"/>
    <w:unhideWhenUsed/>
    <w:qFormat/>
    <w:pPr>
      <w:spacing w:before="0" w:after="0" w:afterAutospacing="0"/>
    </w:pPr>
  </w:style>
  <w:style w:type="paragraph" w:styleId="819">
    <w:name w:val="Title"/>
    <w:basedOn w:val="760"/>
    <w:uiPriority w:val="10"/>
    <w:qFormat/>
    <w:pPr>
      <w:jc w:val="center"/>
    </w:pPr>
    <w:rPr>
      <w:b/>
      <w:bCs/>
      <w:sz w:val="56"/>
      <w:szCs w:val="56"/>
    </w:rPr>
  </w:style>
  <w:style w:type="paragraph" w:styleId="820">
    <w:name w:val="index heading"/>
    <w:basedOn w:val="760"/>
    <w:qFormat/>
    <w:pPr>
      <w:ind w:firstLine="0"/>
      <w:suppressLineNumbers/>
    </w:pPr>
    <w:rPr>
      <w:b/>
      <w:bCs/>
      <w:sz w:val="32"/>
      <w:szCs w:val="32"/>
    </w:rPr>
  </w:style>
  <w:style w:type="paragraph" w:styleId="821" w:customStyle="1">
    <w:name w:val="Содержимое таблицы"/>
    <w:basedOn w:val="760"/>
    <w:qFormat/>
    <w:pPr>
      <w:widowControl w:val="off"/>
      <w:suppressLineNumbers/>
    </w:pPr>
  </w:style>
  <w:style w:type="paragraph" w:styleId="822">
    <w:name w:val="Index Heading"/>
    <w:basedOn w:val="800"/>
  </w:style>
  <w:style w:type="paragraph" w:styleId="823">
    <w:name w:val="TOC Heading"/>
    <w:basedOn w:val="820"/>
  </w:style>
  <w:style w:type="paragraph" w:styleId="824">
    <w:name w:val="toc 1"/>
    <w:uiPriority w:val="39"/>
    <w:pPr>
      <w:ind w:firstLine="284"/>
      <w:jc w:val="left"/>
      <w:spacing w:before="120" w:after="0"/>
      <w:widowControl/>
      <w:tabs>
        <w:tab w:val="clear" w:pos="720" w:leader="none"/>
        <w:tab w:val="right" w:pos="9420" w:leader="dot"/>
      </w:tabs>
    </w:pPr>
    <w:rPr>
      <w:rFonts w:ascii="ALS Hauss" w:hAnsi="ALS Hauss" w:eastAsia="DejaVu Sans" w:cs="Lohit Devanagari"/>
      <w:color w:val="auto"/>
      <w:sz w:val="24"/>
      <w:szCs w:val="32"/>
      <w:lang w:val="ru-RU" w:eastAsia="zh-CN" w:bidi="hi-IN"/>
    </w:rPr>
  </w:style>
  <w:style w:type="paragraph" w:styleId="825">
    <w:name w:val="toc 2"/>
    <w:uiPriority w:val="39"/>
    <w:pPr>
      <w:ind w:left="284" w:firstLine="0"/>
      <w:jc w:val="both"/>
      <w:spacing w:before="120" w:after="0"/>
      <w:widowControl/>
      <w:tabs>
        <w:tab w:val="clear" w:pos="720" w:leader="none"/>
        <w:tab w:val="right" w:pos="9137" w:leader="dot"/>
      </w:tabs>
    </w:pPr>
    <w:rPr>
      <w:rFonts w:ascii="ALS Hauss" w:hAnsi="ALS Hauss" w:eastAsia="DejaVu Sans" w:cs="Lohit Devanagari"/>
      <w:b/>
      <w:bCs/>
      <w:color w:val="auto"/>
      <w:sz w:val="24"/>
      <w:szCs w:val="32"/>
      <w:lang w:val="ru-RU" w:eastAsia="zh-CN" w:bidi="hi-IN"/>
    </w:rPr>
  </w:style>
  <w:style w:type="paragraph" w:styleId="826">
    <w:name w:val="toc 3"/>
    <w:uiPriority w:val="39"/>
    <w:pPr>
      <w:ind w:left="567" w:firstLine="0"/>
      <w:jc w:val="both"/>
      <w:spacing w:before="120" w:after="0"/>
      <w:widowControl/>
      <w:tabs>
        <w:tab w:val="clear" w:pos="720" w:leader="none"/>
        <w:tab w:val="right" w:pos="8853" w:leader="dot"/>
      </w:tabs>
    </w:pPr>
    <w:rPr>
      <w:rFonts w:ascii="ALS Hauss" w:hAnsi="ALS Hauss" w:eastAsia="DejaVu Sans" w:cs="Lohit Devanagari"/>
      <w:b/>
      <w:bCs/>
      <w:color w:val="auto"/>
      <w:sz w:val="24"/>
      <w:szCs w:val="32"/>
      <w:lang w:val="ru-RU" w:eastAsia="zh-CN" w:bidi="hi-IN"/>
    </w:rPr>
  </w:style>
  <w:style w:type="paragraph" w:styleId="827" w:customStyle="1">
    <w:name w:val="Заголовок таблицы"/>
    <w:basedOn w:val="821"/>
    <w:qFormat/>
    <w:pPr>
      <w:jc w:val="center"/>
    </w:pPr>
    <w:rPr>
      <w:b/>
      <w:bCs/>
    </w:rPr>
  </w:style>
  <w:style w:type="paragraph" w:styleId="828">
    <w:name w:val="Колонтитул"/>
    <w:basedOn w:val="760"/>
    <w:qFormat/>
  </w:style>
  <w:style w:type="paragraph" w:styleId="829">
    <w:name w:val="Header"/>
    <w:basedOn w:val="760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830">
    <w:name w:val="Footer"/>
    <w:basedOn w:val="760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831" w:customStyle="1">
    <w:name w:val="Текст1"/>
    <w:basedOn w:val="760"/>
    <w:qFormat/>
    <w:pPr>
      <w:jc w:val="both"/>
      <w:spacing w:before="120" w:after="0"/>
    </w:pPr>
    <w:rPr>
      <w:rFonts w:eastAsia="Times New Roman" w:cs="Times New Roman"/>
      <w:szCs w:val="24"/>
    </w:rPr>
  </w:style>
  <w:style w:type="numbering" w:styleId="832" w:default="1">
    <w:name w:val="No List"/>
    <w:uiPriority w:val="99"/>
    <w:semiHidden/>
    <w:unhideWhenUsed/>
    <w:qFormat/>
  </w:style>
  <w:style w:type="table" w:styleId="24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mailto:info@t1-integrat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dc:language>ru-RU</dc:language>
  <cp:lastModifiedBy>Михайлов Александр Львович</cp:lastModifiedBy>
  <cp:revision>48</cp:revision>
  <dcterms:created xsi:type="dcterms:W3CDTF">2025-07-23T12:50:00Z</dcterms:created>
  <dcterms:modified xsi:type="dcterms:W3CDTF">2025-07-24T13:36:33Z</dcterms:modified>
</cp:coreProperties>
</file>