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439" w:firstLine="284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4"/>
        </w:rPr>
      </w:pPr>
      <w:r>
        <w:rPr>
          <w:rFonts w:asciiTheme="minorHAnsi" w:hAnsiTheme="minorHAnsi" w:ascii="Calibri" w:hAnsi="Calibri"/>
          <w:szCs w:val="24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4"/>
        </w:rPr>
      </w:pPr>
      <w:r>
        <w:rPr>
          <w:rFonts w:asciiTheme="minorHAnsi" w:hAnsiTheme="minorHAnsi" w:ascii="Calibri" w:hAnsi="Calibri"/>
          <w:szCs w:val="24"/>
        </w:rPr>
      </w:r>
    </w:p>
    <w:p>
      <w:pPr>
        <w:pStyle w:val="Normal"/>
        <w:jc w:val="both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jc w:val="both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jc w:val="both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ind w:left="1134" w:firstLine="284"/>
        <w:jc w:val="both"/>
        <w:rPr>
          <w:szCs w:val="24"/>
          <w:lang w:val="en-US"/>
        </w:rPr>
      </w:pPr>
      <w:r>
        <w:rPr/>
        <mc:AlternateContent>
          <mc:Choice Requires="wps">
            <w:drawing>
              <wp:anchor behindDoc="0" distT="13335" distB="12700" distL="13335" distR="13335" simplePos="0" locked="0" layoutInCell="0" allowOverlap="1" relativeHeight="10">
                <wp:simplePos x="0" y="0"/>
                <wp:positionH relativeFrom="column">
                  <wp:posOffset>360045</wp:posOffset>
                </wp:positionH>
                <wp:positionV relativeFrom="page">
                  <wp:posOffset>3240405</wp:posOffset>
                </wp:positionV>
                <wp:extent cx="635" cy="2879725"/>
                <wp:effectExtent l="13335" t="13335" r="13335" b="12700"/>
                <wp:wrapNone/>
                <wp:docPr id="1" name="Прямая со стрелкой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8796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3" stroked="t" o:allowincell="f" style="position:absolute;margin-left:28.35pt;margin-top:255.15pt;width:0pt;height:226.7pt;mso-wrap-style:none;v-text-anchor:middle;mso-position-vertical-relative:page" type="_x0000_t32">
                <v:fill o:detectmouseclick="t" on="false"/>
                <v:stroke color="#00b0f0" weight="25560" joinstyle="round" endcap="flat"/>
                <w10:wrap type="none"/>
              </v:shape>
            </w:pict>
          </mc:Fallback>
        </mc:AlternateContent>
        <w:drawing>
          <wp:inline distT="0" distB="0" distL="0" distR="0">
            <wp:extent cx="1894205" cy="326390"/>
            <wp:effectExtent l="0" t="0" r="0" b="0"/>
            <wp:docPr id="2" name="Рисунок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1134" w:firstLine="284"/>
        <w:jc w:val="both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spacing w:before="120" w:after="0"/>
        <w:ind w:left="1134" w:firstLine="284"/>
        <w:jc w:val="both"/>
        <w:rPr>
          <w:b/>
          <w:b/>
          <w:szCs w:val="24"/>
        </w:rPr>
      </w:pPr>
      <w:r>
        <w:rPr>
          <w:b/>
          <w:szCs w:val="24"/>
        </w:rPr>
        <w:t>Интеграция: Документы</w:t>
      </w:r>
    </w:p>
    <w:p>
      <w:pPr>
        <w:pStyle w:val="Normal"/>
        <w:spacing w:before="120" w:after="0"/>
        <w:ind w:left="1134" w:firstLine="284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before="120" w:after="0"/>
        <w:ind w:left="1134" w:firstLine="284"/>
        <w:jc w:val="both"/>
        <w:rPr>
          <w:b/>
          <w:b/>
          <w:color w:val="0070C0"/>
          <w:szCs w:val="24"/>
          <w:lang w:eastAsia="ru-RU"/>
        </w:rPr>
      </w:pPr>
      <w:r>
        <w:rPr>
          <w:b/>
          <w:color w:val="0070C0"/>
          <w:szCs w:val="24"/>
          <w:lang w:eastAsia="ru-RU"/>
        </w:rPr>
        <w:t xml:space="preserve">Программное обеспечение </w:t>
      </w:r>
    </w:p>
    <w:p>
      <w:pPr>
        <w:pStyle w:val="Style23"/>
        <w:bidi w:val="0"/>
        <w:spacing w:before="240" w:after="120"/>
        <w:ind w:left="1134"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Функциональные характеристики программного обеспечения.</w:t>
      </w:r>
    </w:p>
    <w:p>
      <w:pPr>
        <w:pStyle w:val="Normal"/>
        <w:spacing w:before="120" w:after="0"/>
        <w:ind w:left="1134" w:firstLine="284"/>
        <w:jc w:val="both"/>
        <w:rPr>
          <w:b/>
          <w:b/>
          <w:color w:val="0070C0"/>
          <w:szCs w:val="24"/>
          <w:lang w:eastAsia="ru-RU"/>
        </w:rPr>
      </w:pPr>
      <w:r>
        <w:rPr>
          <w:b/>
          <w:color w:val="0070C0"/>
          <w:szCs w:val="24"/>
          <w:lang w:eastAsia="ru-RU"/>
        </w:rPr>
        <w:t>Тиллиум.Касса</w:t>
      </w:r>
    </w:p>
    <w:p>
      <w:pPr>
        <w:pStyle w:val="Normal"/>
        <w:spacing w:before="120" w:after="0"/>
        <w:ind w:left="1134" w:firstLine="284"/>
        <w:jc w:val="both"/>
        <w:rPr>
          <w:rFonts w:cs="Noto Sans"/>
          <w:szCs w:val="24"/>
        </w:rPr>
      </w:pPr>
      <w:r>
        <w:rPr>
          <w:rFonts w:cs="Noto Sans"/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rPr>
          <w:rFonts w:ascii="Calibri" w:hAnsi="Calibri" w:asciiTheme="minorHAnsi" w:hAnsiTheme="minorHAnsi"/>
          <w:szCs w:val="24"/>
        </w:rPr>
      </w:pPr>
      <w:r>
        <w:rPr>
          <w:rFonts w:asciiTheme="minorHAnsi" w:hAnsiTheme="minorHAnsi" w:ascii="Calibri" w:hAnsi="Calibri"/>
          <w:szCs w:val="24"/>
        </w:rPr>
      </w:r>
    </w:p>
    <w:p>
      <w:pPr>
        <w:pStyle w:val="Normal"/>
        <w:ind w:hanging="0"/>
        <w:rPr>
          <w:rFonts w:ascii="Calibri" w:hAnsi="Calibri" w:asciiTheme="minorHAnsi" w:hAnsiTheme="minorHAnsi"/>
          <w:szCs w:val="24"/>
        </w:rPr>
      </w:pPr>
      <w:r>
        <w:rPr>
          <w:rFonts w:asciiTheme="minorHAnsi" w:hAnsiTheme="minorHAnsi" w:ascii="Calibri" w:hAnsi="Calibri"/>
          <w:szCs w:val="24"/>
        </w:rPr>
      </w:r>
      <w:r>
        <w:br w:type="page"/>
      </w:r>
    </w:p>
    <w:p>
      <w:pPr>
        <w:pStyle w:val="1"/>
        <w:numPr>
          <w:ilvl w:val="0"/>
          <w:numId w:val="3"/>
        </w:numPr>
        <w:spacing w:before="120" w:after="0"/>
        <w:rPr>
          <w:rFonts w:ascii="ALS Hauss" w:hAnsi="ALS Hauss" w:cs="Arial"/>
        </w:rPr>
      </w:pPr>
      <w:r>
        <w:rPr>
          <w:rFonts w:cs="Arial"/>
        </w:rPr>
        <w:t xml:space="preserve">Функциональность ККМ </w:t>
      </w:r>
    </w:p>
    <w:p>
      <w:pPr>
        <w:pStyle w:val="Normal"/>
        <w:spacing w:before="120" w:after="0"/>
        <w:ind w:left="0" w:right="0" w:firstLine="284"/>
        <w:jc w:val="both"/>
        <w:rPr>
          <w:rFonts w:ascii="ALS Hauss" w:hAnsi="ALS Hauss" w:cs="Arial"/>
        </w:rPr>
      </w:pPr>
      <w:r>
        <w:rPr>
          <w:rFonts w:cs="Arial"/>
        </w:rPr>
        <w:t>Аппаратное обеспечение ККМ обеспечивает выполнение следующих функций: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Правильную работу системного и прикладного программного обеспечения;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Правильный ввод данных с клавиатуры и считывателя магнитных карт;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Чтение маркировки товаров сканером штрих кодов;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Отображение информации на экране монитора;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Отображение информации на дисплее покупателя;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 xml:space="preserve">Печать чеков и отчетов и автоматическое отделение их от чековой ленты;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/>
        </w:rPr>
      </w:pPr>
      <w:r>
        <w:rPr>
          <w:rFonts w:cs="Arial"/>
        </w:rPr>
        <w:t>Отправка данных в ОФД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Обмен даннми с ГИС МТ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Автоматическое и ручное открытие и закрытие денежного ящика;</w:t>
      </w:r>
    </w:p>
    <w:p>
      <w:pPr>
        <w:pStyle w:val="1"/>
        <w:numPr>
          <w:ilvl w:val="0"/>
          <w:numId w:val="4"/>
        </w:numPr>
        <w:spacing w:before="120" w:after="0"/>
        <w:rPr>
          <w:rFonts w:ascii="ALS Hauss" w:hAnsi="ALS Hauss" w:cs="Arial"/>
        </w:rPr>
      </w:pPr>
      <w:r>
        <w:rPr>
          <w:rFonts w:cs="Arial"/>
        </w:rPr>
        <w:t>Функциональность кассового ПО</w:t>
      </w:r>
    </w:p>
    <w:p>
      <w:pPr>
        <w:pStyle w:val="Normal"/>
        <w:spacing w:before="120" w:after="0"/>
        <w:rPr>
          <w:rFonts w:ascii="ALS Hauss" w:hAnsi="ALS Hauss" w:cs="Arial"/>
          <w:b/>
          <w:b/>
          <w:bCs/>
        </w:rPr>
      </w:pPr>
      <w:r>
        <w:rPr>
          <w:rFonts w:cs="Arial"/>
          <w:b/>
          <w:bCs/>
        </w:rPr>
        <w:t>Программный комплекс  предназначен для: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/>
        </w:rPr>
      </w:pPr>
      <w:r>
        <w:rPr>
          <w:rFonts w:cs="Arial"/>
        </w:rPr>
        <w:t>продажи товаров и услуг в розничной торговле за наличный и безналичный расчет на кассовых аппаратах с использованием сканера штрих-кодов, внешнего принтера документов, и другого специализированного оборудования.</w:t>
      </w:r>
    </w:p>
    <w:p>
      <w:pPr>
        <w:pStyle w:val="Normal"/>
        <w:spacing w:before="120" w:after="0"/>
        <w:jc w:val="both"/>
        <w:rPr>
          <w:rFonts w:ascii="ALS Hauss" w:hAnsi="ALS Hauss" w:cs="Arial"/>
          <w:b/>
          <w:b/>
        </w:rPr>
      </w:pPr>
      <w:r>
        <w:rPr>
          <w:rFonts w:cs="Arial"/>
          <w:b/>
        </w:rPr>
        <w:t>Основными функциями программного комплекса являются: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ведение справочников;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организация режима продажи и возврата товара на кассовом терминале;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связь с программой Back-Office в режиме off-line;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продажа маркированного товара и проверка его кода маркировки в режиме онлайн и офлайн в системе «Честный знак»;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формирование отчетов;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разграничение полномочий кассиров и менеджеров по доступу к функциям кассовой программы с помощью системы паролей, вводимых с клавиатуры или считываемых с помощью ручного сканера.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организация отправки электронных версий чеков оператору фискальных данных.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/>
        </w:rPr>
      </w:pPr>
      <w:r>
        <w:rPr>
          <w:rFonts w:eastAsia="Times New Roman" w:cs="Arial"/>
          <w:color w:val="auto"/>
          <w:sz w:val="20"/>
          <w:szCs w:val="20"/>
          <w:lang w:val="ru-RU" w:bidi="ar-SA"/>
        </w:rPr>
        <w:t>О</w:t>
      </w:r>
      <w:r>
        <w:rPr>
          <w:rFonts w:cs="Arial"/>
        </w:rPr>
        <w:t>тправка информации о маркированных товарах в ГИС МТ</w:t>
      </w:r>
    </w:p>
    <w:p>
      <w:pPr>
        <w:pStyle w:val="Normal"/>
        <w:spacing w:before="120" w:after="0"/>
        <w:ind w:left="0" w:right="0" w:firstLine="284"/>
        <w:jc w:val="both"/>
        <w:rPr>
          <w:rFonts w:ascii="ALS Hauss" w:hAnsi="ALS Hauss" w:cs="Arial"/>
        </w:rPr>
      </w:pPr>
      <w:r>
        <w:rPr>
          <w:rFonts w:cs="Arial"/>
        </w:rPr>
        <w:t>Функциональность программного продукта может быть наращена с помощью  дополнительных модулей, не затрагивающих базовой функциональности, при этом весь программный комплекс не требует повторной сертификации.</w:t>
      </w:r>
    </w:p>
    <w:p>
      <w:pPr>
        <w:pStyle w:val="Normal"/>
        <w:spacing w:before="120" w:after="0"/>
        <w:jc w:val="both"/>
        <w:rPr>
          <w:rFonts w:ascii="ALS Hauss" w:hAnsi="ALS Hauss" w:cs="Arial"/>
          <w:b/>
          <w:b/>
          <w:bCs/>
        </w:rPr>
      </w:pPr>
      <w:r>
        <w:rPr>
          <w:rFonts w:cs="Arial"/>
          <w:b/>
          <w:bCs/>
        </w:rPr>
        <w:t>Функции кассового ПО по организации режима продажи и возврата товара: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ведение товаров, услуг, скидок и розничных цен в базе данных кассы;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продажа обычного и маркированного товара или услуги по штрих-коду, QR-коду, локальному коду, по символьному коду, позволяющему идентифицировать товар по коду модели-цвета-размера;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поиск товара для включения в чек по группе, по наименованию товара, по контексту;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обработка весовых бар-кодов;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Обрабока кодов маркировки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продажа товара по фиксированной или свободной цене;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возврат товара по цене, отличной от текущей продажной;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предоставление и редактирование ручных скидок, примененных в чеке;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применение автоматических скидок настроенных по системе лояльности;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применение автоматической скидки при работе с дисконтной картой клиента;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корректировка любой строки чека, в том числе ее отмена;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отмена чека;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работа с неограниченным количеством отложенных чеков, возможность восстановления отложенного чека из списка;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расчеты с покупателем в национальной валюте;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продажа товара за наличный и безналичный расчет;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возможность использования множественных форм оплаты в чеке;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возможность отмены выбранной формы оплаты чека;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возможность корректировки чека после начала оплаты. Сумма чека может быть уменьшена за счет скидок или исключения товара из чека, но не может стать меньше суммы авторизованных оплат;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печать чека после его закрытия;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возможность печати копии чека;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печать товарного чека продажи или возврата;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учет продаж по продавцам;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учет работы кассиров;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возможность использования одного кассового аппарата для организации продажи товара в нескольких отделах;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оформление возврата товара;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внесение денег в кассу и инкассация;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просмотр информации и остаткам по товару в данном и других магазинах;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печать логотипа перед чеком;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настройка печати дополнительной информации для покупателя после чека;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</w:rPr>
      </w:pPr>
      <w:r>
        <w:rPr>
          <w:rFonts w:cs="Arial"/>
        </w:rPr>
        <w:t>вывод на экран или на печать кассовых отчетов по текущей и по закрытым сменам;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426" w:leader="none"/>
        </w:tabs>
        <w:spacing w:before="120" w:after="0"/>
        <w:ind w:left="284" w:right="0" w:hanging="0"/>
        <w:jc w:val="both"/>
        <w:rPr>
          <w:rFonts w:ascii="ALS Hauss" w:hAnsi="ALS Hauss" w:cs="Arial"/>
          <w:szCs w:val="24"/>
        </w:rPr>
      </w:pPr>
      <w:r>
        <w:rPr>
          <w:rFonts w:cs="Arial"/>
          <w:szCs w:val="24"/>
        </w:rPr>
        <w:t>продажа товаров Юридическим лицам.</w:t>
      </w:r>
    </w:p>
    <w:p>
      <w:pPr>
        <w:pStyle w:val="1"/>
        <w:numPr>
          <w:ilvl w:val="0"/>
          <w:numId w:val="0"/>
        </w:numPr>
        <w:spacing w:before="240" w:after="120"/>
        <w:ind w:left="0" w:hanging="0"/>
        <w:rPr>
          <w:rFonts w:ascii="ALS Hauss" w:hAnsi="ALS Hauss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20" w:h="16838"/>
      <w:pgMar w:left="1440" w:right="863" w:gutter="0" w:header="567" w:top="1387" w:footer="510" w:bottom="70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LS Hauss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</w:tabs>
      <w:rPr>
        <w:rFonts w:cs="Noto Sans"/>
        <w:color w:val="0070C0"/>
        <w:sz w:val="12"/>
        <w:szCs w:val="12"/>
      </w:rPr>
    </w:pPr>
    <w:r>
      <mc:AlternateContent>
        <mc:Choice Requires="wps">
          <w:drawing>
            <wp:anchor behindDoc="1" distT="6985" distB="5715" distL="6985" distR="5715" simplePos="0" locked="0" layoutInCell="0" allowOverlap="1" relativeHeight="7">
              <wp:simplePos x="0" y="0"/>
              <wp:positionH relativeFrom="page">
                <wp:posOffset>6407785</wp:posOffset>
              </wp:positionH>
              <wp:positionV relativeFrom="page">
                <wp:posOffset>10169525</wp:posOffset>
              </wp:positionV>
              <wp:extent cx="36195" cy="360045"/>
              <wp:effectExtent l="6985" t="6985" r="5715" b="5715"/>
              <wp:wrapNone/>
              <wp:docPr id="6" name="Прямоугольник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60" cy="3600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12700">
                        <a:solidFill>
                          <a:srgbClr val="0070c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27" path="m0,0l-2147483645,0l-2147483645,-2147483646l0,-2147483646xe" fillcolor="#0070c0" stroked="t" o:allowincell="f" style="position:absolute;margin-left:504.55pt;margin-top:800.75pt;width:2.8pt;height:28.3pt;mso-wrap-style:none;v-text-anchor:middle;mso-position-horizontal-relative:page;mso-position-vertical-relative:page">
              <v:fill o:detectmouseclick="t" type="solid" color2="#ff8f3f"/>
              <v:stroke color="#0070c0" weight="12600" joinstyle="miter" endcap="flat"/>
              <w10:wrap type="none"/>
            </v:rect>
          </w:pict>
        </mc:Fallback>
      </mc:AlternateContent>
    </w:r>
    <w:r>
      <w:rPr>
        <w:rFonts w:cs="Noto Sans"/>
        <w:color w:val="0070C0"/>
        <w:sz w:val="12"/>
        <w:szCs w:val="12"/>
      </w:rPr>
      <w:t xml:space="preserve">2025, Т1 Интеграция. Все права защищены. Конфиденциально. </w:t>
    </w:r>
  </w:p>
  <w:p>
    <w:pPr>
      <w:pStyle w:val="Style30"/>
      <w:ind w:hanging="0"/>
      <w:rPr>
        <w:rFonts w:cs="Noto Sans"/>
        <w:color w:val="0070C0"/>
        <w:sz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Normal"/>
      <w:rPr>
        <w:rFonts w:cs="Noto Sans"/>
        <w:color w:val="0070C0"/>
        <w:sz w:val="12"/>
        <w:szCs w:val="12"/>
      </w:rPr>
    </w:pPr>
    <w:r>
      <w:rPr>
        <w:rFonts w:cs="Noto Sans"/>
        <w:color w:val="0070C0"/>
        <w:sz w:val="12"/>
        <w:szCs w:val="12"/>
      </w:rPr>
      <w:t xml:space="preserve">Несанкционированное распространение данного документа и любой его части запрещено.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eastAsia="Calibri" w:cs="Noto Sans" w:eastAsiaTheme="minorHAnsi"/>
        <w:color w:val="0070C0"/>
        <w:sz w:val="12"/>
        <w:szCs w:val="12"/>
      </w:rPr>
    </w:pPr>
    <w:r>
      <w:rPr>
        <w:rFonts w:eastAsia="Calibri" w:cs="Noto Sans" w:eastAsiaTheme="minorHAnsi"/>
        <w:color w:val="0070C0"/>
        <w:sz w:val="12"/>
        <w:szCs w:val="12"/>
      </w:rPr>
      <w:t xml:space="preserve">Конфиденциальность: Содержание данного документа являются исключительной собственностью компании ООО «Т1 Интеграция». </w:t>
    </w:r>
  </w:p>
  <w:p>
    <w:pPr>
      <w:pStyle w:val="Normal"/>
      <w:rPr>
        <w:rFonts w:eastAsia="Calibri" w:cs="Noto Sans" w:eastAsiaTheme="minorHAnsi"/>
        <w:color w:val="0070C0"/>
        <w:sz w:val="12"/>
        <w:szCs w:val="12"/>
      </w:rPr>
    </w:pPr>
    <w:r>
      <w:rPr>
        <w:rFonts w:eastAsia="Calibri" w:cs="Noto Sans" w:eastAsiaTheme="minorHAnsi"/>
        <w:color w:val="0070C0"/>
        <w:sz w:val="12"/>
        <w:szCs w:val="12"/>
      </w:rPr>
      <w:t>Любое его использование может быть осуществлено только с письменного разрешения ООО «Т1 Интеграция».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center"/>
      <w:rPr>
        <w:rFonts w:cs="Noto Sans"/>
        <w:b/>
        <w:b/>
        <w:i/>
        <w:i/>
        <w:color w:val="0070C0"/>
        <w:sz w:val="16"/>
        <w:szCs w:val="16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38100</wp:posOffset>
          </wp:positionH>
          <wp:positionV relativeFrom="paragraph">
            <wp:posOffset>11430</wp:posOffset>
          </wp:positionV>
          <wp:extent cx="1699260" cy="291465"/>
          <wp:effectExtent l="0" t="0" r="0" b="0"/>
          <wp:wrapNone/>
          <wp:docPr id="3" name="Рисунок 4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4140835</wp:posOffset>
          </wp:positionH>
          <wp:positionV relativeFrom="page">
            <wp:posOffset>360045</wp:posOffset>
          </wp:positionV>
          <wp:extent cx="1789430" cy="323850"/>
          <wp:effectExtent l="0" t="0" r="0" b="0"/>
          <wp:wrapNone/>
          <wp:docPr id="4" name="Рисунок 4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Noto Sans"/>
        <w:b/>
        <w:color w:val="0070C0"/>
        <w:sz w:val="16"/>
        <w:szCs w:val="16"/>
      </w:rPr>
      <w:t>Интеграция: Документы</w:t>
    </w:r>
  </w:p>
  <w:p>
    <w:pPr>
      <w:pStyle w:val="Style29"/>
      <w:pBdr>
        <w:bottom w:val="single" w:sz="24" w:space="1" w:color="0070C0"/>
      </w:pBdr>
      <w:spacing w:lineRule="auto" w:line="360" w:before="120" w:after="120"/>
      <w:jc w:val="center"/>
      <w:rPr>
        <w:rFonts w:cs="Noto Sans"/>
        <w:b/>
        <w:b/>
        <w:i/>
        <w:i/>
        <w:color w:val="0070C0"/>
        <w:sz w:val="16"/>
        <w:szCs w:val="16"/>
      </w:rPr>
    </w:pPr>
    <w:r>
      <w:rPr>
        <w:rFonts w:cs="Noto Sans"/>
        <w:b/>
        <w:color w:val="0070C0"/>
        <w:sz w:val="16"/>
        <w:szCs w:val="16"/>
      </w:rPr>
      <w:t>Руководство пользователя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98" w:type="dxa"/>
      <w:jc w:val="left"/>
      <w:tblInd w:w="-3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3119"/>
      <w:gridCol w:w="4820"/>
      <w:gridCol w:w="1559"/>
    </w:tblGrid>
    <w:tr>
      <w:trPr>
        <w:trHeight w:val="563" w:hRule="atLeast"/>
      </w:trPr>
      <w:tc>
        <w:tcPr>
          <w:tcW w:w="3119" w:type="dxa"/>
          <w:tcBorders>
            <w:bottom w:val="single" w:sz="24" w:space="0" w:color="0070C0"/>
          </w:tcBorders>
          <w:shd w:color="auto" w:fill="auto" w:val="clear"/>
        </w:tcPr>
        <w:p>
          <w:pPr>
            <w:pStyle w:val="Normal"/>
            <w:widowControl w:val="false"/>
            <w:ind w:firstLine="34"/>
            <w:rPr>
              <w:color w:val="0070C0"/>
            </w:rPr>
          </w:pPr>
          <w:r>
            <w:rPr>
              <w:color w:val="0070C0"/>
            </w:rPr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-10795</wp:posOffset>
                </wp:positionH>
                <wp:positionV relativeFrom="paragraph">
                  <wp:posOffset>26670</wp:posOffset>
                </wp:positionV>
                <wp:extent cx="1504950" cy="259080"/>
                <wp:effectExtent l="0" t="0" r="0" b="0"/>
                <wp:wrapSquare wrapText="bothSides"/>
                <wp:docPr id="5" name="Рисунок 2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28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259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0" w:type="dxa"/>
          <w:tcBorders>
            <w:bottom w:val="single" w:sz="24" w:space="0" w:color="0070C0"/>
          </w:tcBorders>
          <w:shd w:color="auto" w:fill="auto" w:val="clear"/>
        </w:tcPr>
        <w:p>
          <w:pPr>
            <w:pStyle w:val="Normal"/>
            <w:widowControl w:val="false"/>
            <w:ind w:hanging="0"/>
            <w:rPr>
              <w:color w:val="0070C0"/>
            </w:rPr>
          </w:pPr>
          <w:r>
            <w:rPr>
              <w:rFonts w:cs="Arial"/>
              <w:color w:val="0070C0"/>
              <w:sz w:val="16"/>
              <w:szCs w:val="16"/>
              <w:lang w:eastAsia="ru-RU"/>
            </w:rPr>
            <w:t xml:space="preserve">ООО «Т1 Интеграция», Местонахождение: 125167, Москва </w:t>
            <w:br/>
            <w:t>Ленинградский пр-т, д. 36, стр. 41</w:t>
          </w:r>
        </w:p>
      </w:tc>
      <w:tc>
        <w:tcPr>
          <w:tcW w:w="1559" w:type="dxa"/>
          <w:tcBorders>
            <w:bottom w:val="single" w:sz="24" w:space="0" w:color="0070C0"/>
          </w:tcBorders>
          <w:shd w:color="auto" w:fill="auto" w:val="clear"/>
        </w:tcPr>
        <w:p>
          <w:pPr>
            <w:pStyle w:val="Normal"/>
            <w:widowControl w:val="false"/>
            <w:rPr>
              <w:color w:val="0070C0"/>
            </w:rPr>
          </w:pPr>
          <w:r>
            <w:rPr>
              <w:color w:val="0070C0"/>
            </w:rPr>
          </w:r>
        </w:p>
      </w:tc>
    </w:tr>
  </w:tbl>
  <w:p>
    <w:pPr>
      <w:pStyle w:val="Style29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Devanaga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firstLine="284"/>
      <w:jc w:val="left"/>
    </w:pPr>
    <w:rPr>
      <w:rFonts w:ascii="ALS Hauss" w:hAnsi="ALS Hauss" w:eastAsia="DejaVu Sans" w:cs="Lohit Devanagari"/>
      <w:color w:val="auto"/>
      <w:kern w:val="0"/>
      <w:sz w:val="24"/>
      <w:szCs w:val="22"/>
      <w:lang w:val="ru-RU" w:eastAsia="zh-CN" w:bidi="hi-IN"/>
    </w:rPr>
  </w:style>
  <w:style w:type="paragraph" w:styleId="1">
    <w:name w:val="Heading 1"/>
    <w:basedOn w:val="Normal"/>
    <w:uiPriority w:val="9"/>
    <w:qFormat/>
    <w:pPr>
      <w:tabs>
        <w:tab w:val="clear" w:pos="720"/>
        <w:tab w:val="left" w:pos="709" w:leader="none"/>
        <w:tab w:val="left" w:pos="9356" w:leader="none"/>
      </w:tabs>
      <w:spacing w:before="240" w:after="120"/>
      <w:ind w:left="284" w:hanging="0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uiPriority w:val="9"/>
    <w:unhideWhenUsed/>
    <w:qFormat/>
    <w:pPr>
      <w:numPr>
        <w:ilvl w:val="1"/>
        <w:numId w:val="1"/>
      </w:num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9356" w:leader="none"/>
      </w:tabs>
      <w:spacing w:before="240" w:after="120"/>
      <w:ind w:left="284" w:firstLine="284"/>
      <w:outlineLvl w:val="1"/>
    </w:pPr>
    <w:rPr>
      <w:rFonts w:eastAsia="Times New Roman" w:cs="Times New Roman"/>
      <w:b/>
      <w:bCs/>
      <w:szCs w:val="24"/>
    </w:rPr>
  </w:style>
  <w:style w:type="paragraph" w:styleId="3">
    <w:name w:val="Heading 3"/>
    <w:basedOn w:val="Normal"/>
    <w:uiPriority w:val="9"/>
    <w:unhideWhenUsed/>
    <w:qFormat/>
    <w:pPr>
      <w:numPr>
        <w:ilvl w:val="2"/>
        <w:numId w:val="1"/>
      </w:numPr>
      <w:tabs>
        <w:tab w:val="clear" w:pos="720"/>
        <w:tab w:val="left" w:pos="1276" w:leader="none"/>
        <w:tab w:val="left" w:pos="1560" w:leader="none"/>
        <w:tab w:val="left" w:pos="9356" w:leader="none"/>
      </w:tabs>
      <w:spacing w:before="240" w:after="120"/>
      <w:ind w:firstLine="851"/>
      <w:outlineLvl w:val="2"/>
    </w:pPr>
    <w:rPr>
      <w:b/>
      <w:bCs/>
      <w:szCs w:val="28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Привязка сноски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Привязка концевой сноски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character" w:styleId="Style10" w:customStyle="1">
    <w:name w:val="Ссылка указателя"/>
    <w:qFormat/>
    <w:rPr/>
  </w:style>
  <w:style w:type="character" w:styleId="Style11" w:customStyle="1">
    <w:name w:val="Верхний колонтитул Знак"/>
    <w:basedOn w:val="DefaultParagraphFont"/>
    <w:uiPriority w:val="99"/>
    <w:qFormat/>
    <w:rPr>
      <w:rFonts w:cs="Mangal"/>
      <w:szCs w:val="20"/>
    </w:rPr>
  </w:style>
  <w:style w:type="character" w:styleId="Style12" w:customStyle="1">
    <w:name w:val="Нижний колонтитул Знак"/>
    <w:basedOn w:val="DefaultParagraphFont"/>
    <w:uiPriority w:val="99"/>
    <w:qFormat/>
    <w:rPr>
      <w:rFonts w:cs="Mangal"/>
      <w:szCs w:val="20"/>
    </w:rPr>
  </w:style>
  <w:style w:type="character" w:styleId="Style13">
    <w:name w:val="Выделение"/>
    <w:qFormat/>
    <w:rPr>
      <w:i/>
      <w:iCs/>
    </w:rPr>
  </w:style>
  <w:style w:type="character" w:styleId="Style14" w:customStyle="1">
    <w:name w:val="Заголовок Знак"/>
    <w:basedOn w:val="DefaultParagraphFont"/>
    <w:uiPriority w:val="10"/>
    <w:qFormat/>
    <w:rPr>
      <w:b/>
      <w:bCs/>
      <w:sz w:val="56"/>
      <w:szCs w:val="56"/>
    </w:rPr>
  </w:style>
  <w:style w:type="character" w:styleId="11" w:customStyle="1">
    <w:name w:val="Текст1 Знак"/>
    <w:basedOn w:val="DefaultParagraphFont"/>
    <w:qFormat/>
    <w:rPr>
      <w:rFonts w:ascii="ALS Hauss" w:hAnsi="ALS Hauss" w:eastAsia="Times New Roman" w:cs="Times New Roman"/>
      <w:sz w:val="24"/>
      <w:szCs w:val="24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color w:val="000000"/>
    </w:rPr>
  </w:style>
  <w:style w:type="character" w:styleId="WW8Num2z0">
    <w:name w:val="WW8Num2z0"/>
    <w:qFormat/>
    <w:rPr/>
  </w:style>
  <w:style w:type="character" w:styleId="WW8Num2z1">
    <w:name w:val="WW8Num2z1"/>
    <w:qFormat/>
    <w:rPr>
      <w:color w:val="00000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ejaVu Sans" w:cs="Lohit Devanagari"/>
      <w:color w:val="auto"/>
      <w:kern w:val="0"/>
      <w:sz w:val="22"/>
      <w:szCs w:val="22"/>
      <w:lang w:val="ru-RU" w:eastAsia="zh-CN" w:bidi="hi-IN"/>
    </w:rPr>
  </w:style>
  <w:style w:type="paragraph" w:styleId="Style20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1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2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3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Indexheading">
    <w:name w:val="index heading"/>
    <w:basedOn w:val="Normal"/>
    <w:qFormat/>
    <w:pPr>
      <w:suppressLineNumbers/>
      <w:ind w:hanging="0"/>
    </w:pPr>
    <w:rPr>
      <w:b/>
      <w:bCs/>
      <w:sz w:val="32"/>
      <w:szCs w:val="32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Index Heading"/>
    <w:basedOn w:val="Style15"/>
    <w:pPr/>
    <w:rPr/>
  </w:style>
  <w:style w:type="paragraph" w:styleId="Style26">
    <w:name w:val="TOC Heading"/>
    <w:basedOn w:val="Indexheading"/>
    <w:pPr/>
    <w:rPr/>
  </w:style>
  <w:style w:type="paragraph" w:styleId="12">
    <w:name w:val="TOC 1"/>
    <w:uiPriority w:val="39"/>
    <w:pPr>
      <w:widowControl/>
      <w:tabs>
        <w:tab w:val="clear" w:pos="720"/>
        <w:tab w:val="right" w:pos="9420" w:leader="dot"/>
      </w:tabs>
      <w:suppressAutoHyphens w:val="true"/>
      <w:bidi w:val="0"/>
      <w:spacing w:before="120" w:after="0"/>
      <w:ind w:firstLine="284"/>
      <w:jc w:val="left"/>
    </w:pPr>
    <w:rPr>
      <w:rFonts w:ascii="ALS Hauss" w:hAnsi="ALS Hauss" w:eastAsia="DejaVu Sans" w:cs="Lohit Devanagari"/>
      <w:color w:val="auto"/>
      <w:kern w:val="0"/>
      <w:sz w:val="24"/>
      <w:szCs w:val="32"/>
      <w:lang w:val="ru-RU" w:eastAsia="zh-CN" w:bidi="hi-IN"/>
    </w:rPr>
  </w:style>
  <w:style w:type="paragraph" w:styleId="21">
    <w:name w:val="TOC 2"/>
    <w:uiPriority w:val="39"/>
    <w:pPr>
      <w:widowControl/>
      <w:tabs>
        <w:tab w:val="clear" w:pos="720"/>
        <w:tab w:val="right" w:pos="9137" w:leader="dot"/>
      </w:tabs>
      <w:suppressAutoHyphens w:val="true"/>
      <w:bidi w:val="0"/>
      <w:spacing w:before="120" w:after="0"/>
      <w:ind w:left="284" w:hanging="0"/>
      <w:jc w:val="both"/>
    </w:pPr>
    <w:rPr>
      <w:rFonts w:ascii="ALS Hauss" w:hAnsi="ALS Hauss" w:eastAsia="DejaVu Sans" w:cs="Lohit Devanagari"/>
      <w:b/>
      <w:bCs/>
      <w:color w:val="auto"/>
      <w:kern w:val="0"/>
      <w:sz w:val="24"/>
      <w:szCs w:val="32"/>
      <w:lang w:val="ru-RU" w:eastAsia="zh-CN" w:bidi="hi-IN"/>
    </w:rPr>
  </w:style>
  <w:style w:type="paragraph" w:styleId="31">
    <w:name w:val="TOC 3"/>
    <w:uiPriority w:val="39"/>
    <w:pPr>
      <w:widowControl/>
      <w:tabs>
        <w:tab w:val="clear" w:pos="720"/>
        <w:tab w:val="right" w:pos="8853" w:leader="dot"/>
      </w:tabs>
      <w:suppressAutoHyphens w:val="true"/>
      <w:bidi w:val="0"/>
      <w:spacing w:before="120" w:after="0"/>
      <w:ind w:left="567" w:hanging="0"/>
      <w:jc w:val="both"/>
    </w:pPr>
    <w:rPr>
      <w:rFonts w:ascii="ALS Hauss" w:hAnsi="ALS Hauss" w:eastAsia="DejaVu Sans" w:cs="Lohit Devanagari"/>
      <w:b/>
      <w:bCs/>
      <w:color w:val="auto"/>
      <w:kern w:val="0"/>
      <w:sz w:val="24"/>
      <w:szCs w:val="32"/>
      <w:lang w:val="ru-RU" w:eastAsia="zh-CN" w:bidi="hi-IN"/>
    </w:rPr>
  </w:style>
  <w:style w:type="paragraph" w:styleId="Style27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0"/>
    </w:rPr>
  </w:style>
  <w:style w:type="paragraph" w:styleId="Style30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0"/>
    </w:rPr>
  </w:style>
  <w:style w:type="paragraph" w:styleId="13" w:customStyle="1">
    <w:name w:val="Текст1"/>
    <w:basedOn w:val="Normal"/>
    <w:qFormat/>
    <w:pPr>
      <w:spacing w:before="120" w:after="0"/>
      <w:jc w:val="both"/>
    </w:pPr>
    <w:rPr>
      <w:rFonts w:eastAsia="Times New Roman" w:cs="Times New Roman"/>
      <w:szCs w:val="24"/>
    </w:rPr>
  </w:style>
  <w:style w:type="paragraph" w:styleId="Style3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B0A8-549A-4541-8FAA-48E1EC2A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LibreOffice/7.3.7.2$Linux_X86_64 LibreOffice_project/30$Build-2</Application>
  <AppVersion>15.0000</AppVersion>
  <Pages>3</Pages>
  <Words>584</Words>
  <Characters>3735</Characters>
  <CharactersWithSpaces>4209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2025-07-23T12:50:00Z</dcterms:created>
  <dc:creator>Windows User</dc:creator>
  <dc:description/>
  <dc:language>ru-RU</dc:language>
  <cp:lastModifiedBy/>
  <dcterms:modified xsi:type="dcterms:W3CDTF">2025-07-30T10:46:41Z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